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22ab91a22b44e4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Pr="00F95BC9" w:rsidRDefault="00F445B1" w:rsidP="004A6D2F">
            <w:pPr>
              <w:rPr>
                <w:rStyle w:val="Firstpagetablebold"/>
              </w:rPr>
            </w:pPr>
            <w:r w:rsidRPr="00F95BC9">
              <w:rPr>
                <w:rStyle w:val="Firstpagetablebold"/>
              </w:rPr>
              <w:t>City Executive Board</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Pr="001356F1" w:rsidRDefault="00A1149C" w:rsidP="005D0621">
            <w:pPr>
              <w:rPr>
                <w:b/>
              </w:rPr>
            </w:pPr>
            <w:r>
              <w:rPr>
                <w:b/>
              </w:rPr>
              <w:t xml:space="preserve">20 </w:t>
            </w:r>
            <w:r w:rsidR="005F7991">
              <w:rPr>
                <w:b/>
              </w:rPr>
              <w:t>June 2017</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rsidR="00F445B1" w:rsidRPr="001356F1" w:rsidRDefault="00EE063B" w:rsidP="004A6D2F">
            <w:pPr>
              <w:rPr>
                <w:rStyle w:val="Firstpagetablebold"/>
              </w:rPr>
            </w:pPr>
            <w:r>
              <w:rPr>
                <w:rStyle w:val="Firstpagetablebold"/>
              </w:rPr>
              <w:t>Assistant Chief E</w:t>
            </w:r>
            <w:r w:rsidR="00FC46FD">
              <w:rPr>
                <w:rStyle w:val="Firstpagetablebold"/>
              </w:rPr>
              <w:t>xecutive</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1356F1" w:rsidRDefault="00FE5E2C" w:rsidP="004A6D2F">
            <w:pPr>
              <w:rPr>
                <w:rStyle w:val="Firstpagetablebold"/>
              </w:rPr>
            </w:pPr>
            <w:r>
              <w:rPr>
                <w:rStyle w:val="Firstpagetablebold"/>
              </w:rPr>
              <w:t>Oxford City C</w:t>
            </w:r>
            <w:r w:rsidR="00FC46FD">
              <w:rPr>
                <w:rStyle w:val="Firstpagetablebold"/>
              </w:rPr>
              <w:t xml:space="preserve">ouncil </w:t>
            </w:r>
            <w:r w:rsidR="0003796E">
              <w:rPr>
                <w:rStyle w:val="Firstpagetablebold"/>
              </w:rPr>
              <w:t>Safeguarding Report 2016/1</w:t>
            </w:r>
            <w:r>
              <w:rPr>
                <w:rStyle w:val="Firstpagetablebold"/>
              </w:rPr>
              <w:t>7</w:t>
            </w:r>
          </w:p>
        </w:tc>
      </w:tr>
    </w:tbl>
    <w:p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rsidTr="0080749A">
        <w:tc>
          <w:tcPr>
            <w:tcW w:w="8845" w:type="dxa"/>
            <w:gridSpan w:val="3"/>
            <w:tcBorders>
              <w:bottom w:val="single" w:sz="8" w:space="0" w:color="000000"/>
            </w:tcBorders>
            <w:hideMark/>
          </w:tcPr>
          <w:p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rsidTr="0080749A">
        <w:tc>
          <w:tcPr>
            <w:tcW w:w="2438" w:type="dxa"/>
            <w:gridSpan w:val="2"/>
            <w:tcBorders>
              <w:top w:val="single" w:sz="8" w:space="0" w:color="000000"/>
              <w:left w:val="single" w:sz="8" w:space="0" w:color="000000"/>
              <w:bottom w:val="nil"/>
              <w:right w:val="nil"/>
            </w:tcBorders>
            <w:hideMark/>
          </w:tcPr>
          <w:p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rsidR="00D5547E" w:rsidRPr="001356F1" w:rsidRDefault="00FC46FD" w:rsidP="004E493E">
            <w:r>
              <w:t>To report on the progress</w:t>
            </w:r>
            <w:r w:rsidR="004E493E">
              <w:t xml:space="preserve"> made on the </w:t>
            </w:r>
            <w:r w:rsidR="002E11D4">
              <w:t xml:space="preserve">Oxford </w:t>
            </w:r>
            <w:r>
              <w:t>City</w:t>
            </w:r>
            <w:r w:rsidR="004E493E">
              <w:t xml:space="preserve"> Council</w:t>
            </w:r>
            <w:r w:rsidR="002E11D4">
              <w:t>’</w:t>
            </w:r>
            <w:r w:rsidR="004E493E">
              <w:t xml:space="preserve">s </w:t>
            </w:r>
            <w:r>
              <w:t>Safeguarding</w:t>
            </w:r>
            <w:r w:rsidR="004E493E">
              <w:t xml:space="preserve"> Action Plan</w:t>
            </w:r>
            <w:r w:rsidR="00180EE6">
              <w:t xml:space="preserve"> 2016/17</w:t>
            </w:r>
          </w:p>
        </w:tc>
      </w:tr>
      <w:tr w:rsidR="00D5547E" w:rsidTr="0080749A">
        <w:tc>
          <w:tcPr>
            <w:tcW w:w="2438" w:type="dxa"/>
            <w:gridSpan w:val="2"/>
            <w:tcBorders>
              <w:top w:val="nil"/>
              <w:left w:val="single" w:sz="8" w:space="0" w:color="000000"/>
              <w:bottom w:val="nil"/>
              <w:right w:val="nil"/>
            </w:tcBorders>
            <w:hideMark/>
          </w:tcPr>
          <w:p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rsidR="00D5547E" w:rsidRPr="00EE063B" w:rsidRDefault="004E493E" w:rsidP="005F7F7E">
            <w:pPr>
              <w:rPr>
                <w:color w:val="auto"/>
              </w:rPr>
            </w:pPr>
            <w:r w:rsidRPr="00EE063B">
              <w:rPr>
                <w:color w:val="auto"/>
              </w:rPr>
              <w:t xml:space="preserve">Yes </w:t>
            </w:r>
          </w:p>
        </w:tc>
      </w:tr>
      <w:tr w:rsidR="00D5547E" w:rsidTr="0080749A">
        <w:tc>
          <w:tcPr>
            <w:tcW w:w="2438" w:type="dxa"/>
            <w:gridSpan w:val="2"/>
            <w:tcBorders>
              <w:top w:val="nil"/>
              <w:left w:val="single" w:sz="8" w:space="0" w:color="000000"/>
              <w:bottom w:val="nil"/>
              <w:right w:val="nil"/>
            </w:tcBorders>
            <w:hideMark/>
          </w:tcPr>
          <w:p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rsidR="00D5547E" w:rsidRPr="00EE063B" w:rsidRDefault="00E80095" w:rsidP="00354373">
            <w:pPr>
              <w:rPr>
                <w:color w:val="auto"/>
              </w:rPr>
            </w:pPr>
            <w:r w:rsidRPr="00EE063B">
              <w:rPr>
                <w:color w:val="auto"/>
              </w:rPr>
              <w:t xml:space="preserve">Cllr </w:t>
            </w:r>
            <w:r w:rsidR="00354373">
              <w:rPr>
                <w:color w:val="auto"/>
              </w:rPr>
              <w:t>Tom Hayes</w:t>
            </w:r>
            <w:r w:rsidRPr="00EE063B">
              <w:rPr>
                <w:color w:val="auto"/>
              </w:rPr>
              <w:t xml:space="preserve">, </w:t>
            </w:r>
            <w:r w:rsidR="0003796E" w:rsidRPr="00EE063B">
              <w:rPr>
                <w:color w:val="auto"/>
              </w:rPr>
              <w:t>Board Member for Community Safety</w:t>
            </w:r>
          </w:p>
        </w:tc>
      </w:tr>
      <w:tr w:rsidR="0080749A" w:rsidTr="0080749A">
        <w:tc>
          <w:tcPr>
            <w:tcW w:w="2438" w:type="dxa"/>
            <w:gridSpan w:val="2"/>
            <w:tcBorders>
              <w:top w:val="nil"/>
              <w:left w:val="single" w:sz="8" w:space="0" w:color="000000"/>
              <w:bottom w:val="nil"/>
              <w:right w:val="nil"/>
            </w:tcBorders>
          </w:tcPr>
          <w:p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rsidR="0080749A" w:rsidRPr="00EE063B" w:rsidRDefault="0003796E" w:rsidP="005F7F7E">
            <w:pPr>
              <w:rPr>
                <w:color w:val="auto"/>
              </w:rPr>
            </w:pPr>
            <w:r w:rsidRPr="00EE063B">
              <w:rPr>
                <w:color w:val="auto"/>
              </w:rPr>
              <w:t>Strong and Active Communities</w:t>
            </w:r>
          </w:p>
        </w:tc>
      </w:tr>
      <w:tr w:rsidR="00D5547E" w:rsidTr="0080749A">
        <w:tc>
          <w:tcPr>
            <w:tcW w:w="2438" w:type="dxa"/>
            <w:gridSpan w:val="2"/>
            <w:tcBorders>
              <w:top w:val="nil"/>
              <w:left w:val="single" w:sz="8" w:space="0" w:color="000000"/>
              <w:bottom w:val="nil"/>
              <w:right w:val="nil"/>
            </w:tcBorders>
            <w:hideMark/>
          </w:tcPr>
          <w:p w:rsidR="00D5547E" w:rsidRDefault="0003796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rsidR="00D5547E" w:rsidRPr="00EE063B" w:rsidRDefault="00354373" w:rsidP="00ED684F">
            <w:pPr>
              <w:rPr>
                <w:color w:val="auto"/>
              </w:rPr>
            </w:pPr>
            <w:r>
              <w:rPr>
                <w:color w:val="auto"/>
              </w:rPr>
              <w:t>None</w:t>
            </w:r>
          </w:p>
        </w:tc>
      </w:tr>
      <w:tr w:rsidR="005F7F7E" w:rsidRPr="00975B07" w:rsidTr="00354373">
        <w:trPr>
          <w:trHeight w:val="413"/>
        </w:trPr>
        <w:tc>
          <w:tcPr>
            <w:tcW w:w="8845" w:type="dxa"/>
            <w:gridSpan w:val="3"/>
            <w:tcBorders>
              <w:bottom w:val="single" w:sz="4" w:space="0" w:color="auto"/>
            </w:tcBorders>
          </w:tcPr>
          <w:p w:rsidR="005F7F7E" w:rsidRPr="00975B07" w:rsidRDefault="00354373" w:rsidP="004A6D2F">
            <w:r>
              <w:rPr>
                <w:rStyle w:val="Firstpagetablebold"/>
              </w:rPr>
              <w:t>Recommendations</w:t>
            </w:r>
            <w:r w:rsidR="005F7F7E">
              <w:rPr>
                <w:rStyle w:val="Firstpagetablebold"/>
              </w:rPr>
              <w:t>:</w:t>
            </w:r>
            <w:r>
              <w:rPr>
                <w:rStyle w:val="Firstpagetablebold"/>
              </w:rPr>
              <w:t xml:space="preserve"> </w:t>
            </w:r>
            <w:r w:rsidR="005F7F7E" w:rsidRPr="00354373">
              <w:rPr>
                <w:rStyle w:val="Firstpagetablebold"/>
                <w:b w:val="0"/>
              </w:rPr>
              <w:t>That the City Executive Board resolves to:</w:t>
            </w:r>
          </w:p>
        </w:tc>
      </w:tr>
      <w:tr w:rsidR="0030208D" w:rsidRPr="00975B07" w:rsidTr="00354373">
        <w:trPr>
          <w:trHeight w:val="283"/>
        </w:trPr>
        <w:tc>
          <w:tcPr>
            <w:tcW w:w="426" w:type="dxa"/>
            <w:tcBorders>
              <w:top w:val="single" w:sz="4" w:space="0" w:color="auto"/>
              <w:left w:val="single" w:sz="4" w:space="0" w:color="auto"/>
              <w:bottom w:val="nil"/>
              <w:right w:val="nil"/>
            </w:tcBorders>
          </w:tcPr>
          <w:p w:rsidR="0030208D" w:rsidRPr="00975B07" w:rsidRDefault="00046D2B" w:rsidP="004A6D2F">
            <w:r w:rsidRPr="00975B07">
              <w:t>1.</w:t>
            </w:r>
          </w:p>
        </w:tc>
        <w:tc>
          <w:tcPr>
            <w:tcW w:w="8419" w:type="dxa"/>
            <w:gridSpan w:val="2"/>
            <w:tcBorders>
              <w:top w:val="single" w:sz="4" w:space="0" w:color="auto"/>
              <w:left w:val="nil"/>
              <w:bottom w:val="nil"/>
              <w:right w:val="single" w:sz="4" w:space="0" w:color="auto"/>
            </w:tcBorders>
            <w:shd w:val="clear" w:color="auto" w:fill="auto"/>
          </w:tcPr>
          <w:p w:rsidR="0030208D" w:rsidRPr="001356F1" w:rsidRDefault="00FC46FD" w:rsidP="002E11D4">
            <w:r w:rsidRPr="00354373">
              <w:rPr>
                <w:b/>
              </w:rPr>
              <w:t>N</w:t>
            </w:r>
            <w:r w:rsidR="004E493E" w:rsidRPr="00354373">
              <w:rPr>
                <w:b/>
              </w:rPr>
              <w:t>ote</w:t>
            </w:r>
            <w:r w:rsidR="004E493E">
              <w:t xml:space="preserve"> the key </w:t>
            </w:r>
            <w:r>
              <w:t>achievements</w:t>
            </w:r>
            <w:r w:rsidR="004E493E">
              <w:t xml:space="preserve"> </w:t>
            </w:r>
            <w:r w:rsidR="002E11D4">
              <w:t xml:space="preserve">of </w:t>
            </w:r>
            <w:r w:rsidR="004E493E">
              <w:t xml:space="preserve">the </w:t>
            </w:r>
            <w:r>
              <w:t>Safeguarding</w:t>
            </w:r>
            <w:r w:rsidR="00EE063B">
              <w:t xml:space="preserve"> work delivered through Oxford City Council </w:t>
            </w:r>
            <w:r w:rsidR="004E493E">
              <w:t xml:space="preserve"> </w:t>
            </w:r>
            <w:r w:rsidR="00171036">
              <w:t xml:space="preserve">during </w:t>
            </w:r>
            <w:r w:rsidR="004E493E">
              <w:t>2016/17</w:t>
            </w:r>
          </w:p>
        </w:tc>
      </w:tr>
      <w:tr w:rsidR="0030208D" w:rsidRPr="00975B07" w:rsidTr="00354373">
        <w:trPr>
          <w:trHeight w:val="283"/>
        </w:trPr>
        <w:tc>
          <w:tcPr>
            <w:tcW w:w="426" w:type="dxa"/>
            <w:tcBorders>
              <w:top w:val="nil"/>
              <w:left w:val="single" w:sz="4" w:space="0" w:color="auto"/>
              <w:bottom w:val="single" w:sz="4" w:space="0" w:color="auto"/>
              <w:right w:val="nil"/>
            </w:tcBorders>
          </w:tcPr>
          <w:p w:rsidR="0030208D" w:rsidRPr="00975B07" w:rsidRDefault="00046D2B" w:rsidP="004A6D2F">
            <w:r w:rsidRPr="00975B07">
              <w:t>2.</w:t>
            </w:r>
          </w:p>
        </w:tc>
        <w:tc>
          <w:tcPr>
            <w:tcW w:w="8419" w:type="dxa"/>
            <w:gridSpan w:val="2"/>
            <w:tcBorders>
              <w:top w:val="nil"/>
              <w:left w:val="nil"/>
              <w:bottom w:val="single" w:sz="4" w:space="0" w:color="auto"/>
              <w:right w:val="single" w:sz="4" w:space="0" w:color="auto"/>
            </w:tcBorders>
            <w:shd w:val="clear" w:color="auto" w:fill="auto"/>
          </w:tcPr>
          <w:p w:rsidR="0030208D" w:rsidRPr="00401A91" w:rsidRDefault="00ED684F" w:rsidP="002E11D4">
            <w:pPr>
              <w:rPr>
                <w:b/>
              </w:rPr>
            </w:pPr>
            <w:r w:rsidRPr="00354373">
              <w:rPr>
                <w:rStyle w:val="Firstpagetablebold"/>
              </w:rPr>
              <w:t>Agree</w:t>
            </w:r>
            <w:r w:rsidR="00401A91">
              <w:rPr>
                <w:rStyle w:val="Firstpagetablebold"/>
                <w:b w:val="0"/>
              </w:rPr>
              <w:t xml:space="preserve"> the S</w:t>
            </w:r>
            <w:r w:rsidR="00EE063B">
              <w:rPr>
                <w:rStyle w:val="Firstpagetablebold"/>
                <w:b w:val="0"/>
              </w:rPr>
              <w:t>afeguarding Action</w:t>
            </w:r>
            <w:r w:rsidR="00FC46FD" w:rsidRPr="00401A91">
              <w:rPr>
                <w:rStyle w:val="Firstpagetablebold"/>
                <w:b w:val="0"/>
              </w:rPr>
              <w:t xml:space="preserve"> </w:t>
            </w:r>
            <w:r w:rsidR="00401A91">
              <w:rPr>
                <w:rStyle w:val="Firstpagetablebold"/>
                <w:b w:val="0"/>
              </w:rPr>
              <w:t>P</w:t>
            </w:r>
            <w:r w:rsidR="004E493E" w:rsidRPr="00401A91">
              <w:rPr>
                <w:rStyle w:val="Firstpagetablebold"/>
                <w:b w:val="0"/>
              </w:rPr>
              <w:t>lan 2017/18</w:t>
            </w:r>
            <w:r w:rsidR="00401A91">
              <w:rPr>
                <w:rStyle w:val="Firstpagetablebold"/>
                <w:b w:val="0"/>
              </w:rPr>
              <w:t xml:space="preserve"> set out in </w:t>
            </w:r>
            <w:r w:rsidR="002E11D4">
              <w:rPr>
                <w:rStyle w:val="Firstpagetablebold"/>
                <w:b w:val="0"/>
              </w:rPr>
              <w:t>A</w:t>
            </w:r>
            <w:r w:rsidR="00401A91">
              <w:rPr>
                <w:rStyle w:val="Firstpagetablebold"/>
                <w:b w:val="0"/>
              </w:rPr>
              <w:t>ppendix 1</w:t>
            </w:r>
          </w:p>
        </w:tc>
      </w:tr>
    </w:tbl>
    <w:p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rsidTr="00354373">
        <w:tc>
          <w:tcPr>
            <w:tcW w:w="8844" w:type="dxa"/>
            <w:gridSpan w:val="2"/>
            <w:tcBorders>
              <w:top w:val="single" w:sz="8" w:space="0" w:color="000000"/>
              <w:left w:val="single" w:sz="8" w:space="0" w:color="000000"/>
              <w:bottom w:val="single" w:sz="4" w:space="0" w:color="auto"/>
              <w:right w:val="single" w:sz="8" w:space="0" w:color="000000"/>
            </w:tcBorders>
            <w:shd w:val="clear" w:color="auto" w:fill="auto"/>
          </w:tcPr>
          <w:p w:rsidR="00966D42" w:rsidRPr="00975B07" w:rsidRDefault="00966D42" w:rsidP="00263EA3">
            <w:pPr>
              <w:jc w:val="center"/>
            </w:pPr>
            <w:r w:rsidRPr="00745BF0">
              <w:rPr>
                <w:rStyle w:val="Firstpagetablebold"/>
              </w:rPr>
              <w:t>Appendices</w:t>
            </w:r>
          </w:p>
        </w:tc>
      </w:tr>
      <w:tr w:rsidR="00ED5860" w:rsidRPr="00975B07" w:rsidTr="00354373">
        <w:tc>
          <w:tcPr>
            <w:tcW w:w="2438" w:type="dxa"/>
            <w:tcBorders>
              <w:top w:val="single" w:sz="4" w:space="0" w:color="auto"/>
              <w:left w:val="single" w:sz="4" w:space="0" w:color="auto"/>
              <w:bottom w:val="nil"/>
              <w:right w:val="nil"/>
            </w:tcBorders>
            <w:shd w:val="clear" w:color="auto" w:fill="auto"/>
          </w:tcPr>
          <w:p w:rsidR="00ED5860" w:rsidRPr="00975B07" w:rsidRDefault="00ED5860" w:rsidP="004A6D2F">
            <w:r w:rsidRPr="00975B07">
              <w:t>Appendix 1</w:t>
            </w:r>
          </w:p>
        </w:tc>
        <w:tc>
          <w:tcPr>
            <w:tcW w:w="6406" w:type="dxa"/>
            <w:tcBorders>
              <w:top w:val="single" w:sz="4" w:space="0" w:color="auto"/>
              <w:left w:val="nil"/>
              <w:bottom w:val="nil"/>
              <w:right w:val="single" w:sz="4" w:space="0" w:color="auto"/>
            </w:tcBorders>
          </w:tcPr>
          <w:p w:rsidR="00ED5860" w:rsidRPr="001356F1" w:rsidRDefault="0003796E" w:rsidP="004A6D2F">
            <w:r>
              <w:t>Oxford C</w:t>
            </w:r>
            <w:r w:rsidR="00401A91">
              <w:t>ity C</w:t>
            </w:r>
            <w:r w:rsidR="00EE063B">
              <w:t>ouncil</w:t>
            </w:r>
            <w:r w:rsidR="00CB0E5C">
              <w:t>’</w:t>
            </w:r>
            <w:r w:rsidR="00EE063B">
              <w:t>s Safeguarding Action</w:t>
            </w:r>
            <w:r>
              <w:t xml:space="preserve"> Plan 2017/18</w:t>
            </w:r>
          </w:p>
        </w:tc>
      </w:tr>
      <w:tr w:rsidR="00ED6501" w:rsidRPr="00975B07" w:rsidTr="00354373">
        <w:tc>
          <w:tcPr>
            <w:tcW w:w="2438" w:type="dxa"/>
            <w:tcBorders>
              <w:top w:val="nil"/>
              <w:left w:val="single" w:sz="4" w:space="0" w:color="auto"/>
              <w:bottom w:val="single" w:sz="4" w:space="0" w:color="auto"/>
              <w:right w:val="nil"/>
            </w:tcBorders>
            <w:shd w:val="clear" w:color="auto" w:fill="auto"/>
          </w:tcPr>
          <w:p w:rsidR="00ED6501" w:rsidRPr="00975B07" w:rsidRDefault="00ED6501" w:rsidP="004A6D2F">
            <w:r>
              <w:t>Appendix  2</w:t>
            </w:r>
          </w:p>
        </w:tc>
        <w:tc>
          <w:tcPr>
            <w:tcW w:w="6406" w:type="dxa"/>
            <w:tcBorders>
              <w:top w:val="nil"/>
              <w:left w:val="nil"/>
              <w:bottom w:val="single" w:sz="4" w:space="0" w:color="auto"/>
              <w:right w:val="single" w:sz="4" w:space="0" w:color="auto"/>
            </w:tcBorders>
          </w:tcPr>
          <w:p w:rsidR="00ED6501" w:rsidRDefault="00ED6501" w:rsidP="004A6D2F">
            <w:r>
              <w:t>Oxfords City Council participation in Safeguarding Boards and Working Groups</w:t>
            </w:r>
          </w:p>
        </w:tc>
      </w:tr>
    </w:tbl>
    <w:p w:rsidR="0040736F" w:rsidRPr="00A1149C" w:rsidRDefault="00401A91" w:rsidP="004A6D2F">
      <w:pPr>
        <w:pStyle w:val="Heading1"/>
        <w:rPr>
          <w:rFonts w:cs="Arial"/>
        </w:rPr>
      </w:pPr>
      <w:r w:rsidRPr="00A1149C">
        <w:rPr>
          <w:rFonts w:cs="Arial"/>
        </w:rPr>
        <w:t>B</w:t>
      </w:r>
      <w:r w:rsidR="00151888" w:rsidRPr="00A1149C">
        <w:rPr>
          <w:rFonts w:cs="Arial"/>
        </w:rPr>
        <w:t>ackground</w:t>
      </w:r>
      <w:r w:rsidR="00404032" w:rsidRPr="00A1149C">
        <w:rPr>
          <w:rFonts w:cs="Arial"/>
        </w:rPr>
        <w:t xml:space="preserve"> </w:t>
      </w:r>
    </w:p>
    <w:p w:rsidR="00A2787B" w:rsidRPr="00A1149C" w:rsidRDefault="00A2787B" w:rsidP="00354373">
      <w:pPr>
        <w:pStyle w:val="bParagraphtext"/>
      </w:pPr>
      <w:r w:rsidRPr="00A1149C">
        <w:t xml:space="preserve">For Oxford City Council safeguarding and the wellbeing of children and vulnerable adults is a corporate priority and </w:t>
      </w:r>
      <w:r w:rsidR="00171036">
        <w:t xml:space="preserve">the Council </w:t>
      </w:r>
      <w:r w:rsidR="002E11D4" w:rsidRPr="00A1149C">
        <w:t>is</w:t>
      </w:r>
      <w:r w:rsidRPr="00A1149C">
        <w:t xml:space="preserve"> actively striving towards best practice in this area of work. </w:t>
      </w:r>
      <w:r w:rsidR="002E11D4" w:rsidRPr="00A1149C">
        <w:t xml:space="preserve">The Council is </w:t>
      </w:r>
      <w:r w:rsidRPr="00A1149C">
        <w:t xml:space="preserve">acutely aware that the needs in the city are very different to elsewhere in </w:t>
      </w:r>
      <w:r w:rsidR="002E11D4" w:rsidRPr="00A1149C">
        <w:t>Oxfordshire</w:t>
      </w:r>
      <w:r w:rsidRPr="00A1149C">
        <w:t xml:space="preserve">. In particular in relation to </w:t>
      </w:r>
      <w:r w:rsidR="000C26E4" w:rsidRPr="00A1149C">
        <w:t>a</w:t>
      </w:r>
      <w:r w:rsidRPr="00A1149C">
        <w:t xml:space="preserve">buse, </w:t>
      </w:r>
      <w:r w:rsidR="000C26E4" w:rsidRPr="00A1149C">
        <w:t>n</w:t>
      </w:r>
      <w:r w:rsidRPr="00A1149C">
        <w:t>eglect, PREVENT</w:t>
      </w:r>
      <w:r w:rsidR="002E11D4" w:rsidRPr="00A1149C">
        <w:t xml:space="preserve"> (the prevention of radicalisation programme)</w:t>
      </w:r>
      <w:r w:rsidRPr="00A1149C">
        <w:t>, modern slavery, and the many other forms of exploitation</w:t>
      </w:r>
      <w:r w:rsidR="000C26E4" w:rsidRPr="00A1149C">
        <w:t xml:space="preserve">. </w:t>
      </w:r>
      <w:r w:rsidR="00F00381">
        <w:t>It is a</w:t>
      </w:r>
      <w:r w:rsidR="000C26E4" w:rsidRPr="00A1149C">
        <w:t>lso</w:t>
      </w:r>
      <w:r w:rsidR="00F00381">
        <w:t xml:space="preserve"> aware </w:t>
      </w:r>
      <w:proofErr w:type="gramStart"/>
      <w:r w:rsidR="00F00381">
        <w:t xml:space="preserve">of </w:t>
      </w:r>
      <w:r w:rsidR="000C26E4" w:rsidRPr="00A1149C">
        <w:t xml:space="preserve"> </w:t>
      </w:r>
      <w:r w:rsidRPr="00A1149C">
        <w:t>the</w:t>
      </w:r>
      <w:proofErr w:type="gramEnd"/>
      <w:r w:rsidRPr="00A1149C">
        <w:t xml:space="preserve"> impact of poverty on safeguarding risk.</w:t>
      </w:r>
    </w:p>
    <w:p w:rsidR="0003796E" w:rsidRPr="00A1149C" w:rsidRDefault="00BD67ED" w:rsidP="00354373">
      <w:pPr>
        <w:pStyle w:val="bParagraphtext"/>
      </w:pPr>
      <w:r w:rsidRPr="00A1149C">
        <w:lastRenderedPageBreak/>
        <w:t>Safeguarding</w:t>
      </w:r>
      <w:r w:rsidR="00ED684F" w:rsidRPr="00A1149C">
        <w:t xml:space="preserve"> c</w:t>
      </w:r>
      <w:r w:rsidR="003D2C1D" w:rsidRPr="00A1149C">
        <w:t xml:space="preserve">hildren and </w:t>
      </w:r>
      <w:r w:rsidRPr="00A1149C">
        <w:t>vulnerable</w:t>
      </w:r>
      <w:r w:rsidR="003D2C1D" w:rsidRPr="00A1149C">
        <w:t xml:space="preserve"> adults is </w:t>
      </w:r>
      <w:r w:rsidR="002E11D4" w:rsidRPr="00A1149C">
        <w:t>a</w:t>
      </w:r>
      <w:r w:rsidR="003D2C1D" w:rsidRPr="00A1149C">
        <w:t xml:space="preserve"> core </w:t>
      </w:r>
      <w:r w:rsidRPr="00A1149C">
        <w:t>responsibility</w:t>
      </w:r>
      <w:r w:rsidR="003D2C1D" w:rsidRPr="00A1149C">
        <w:t xml:space="preserve"> of Oxfordshire </w:t>
      </w:r>
      <w:r w:rsidRPr="00A1149C">
        <w:t>County</w:t>
      </w:r>
      <w:r w:rsidR="003D2C1D" w:rsidRPr="00A1149C">
        <w:t xml:space="preserve"> Council. The </w:t>
      </w:r>
      <w:r w:rsidRPr="00A1149C">
        <w:t>development</w:t>
      </w:r>
      <w:r w:rsidR="003D2C1D" w:rsidRPr="00A1149C">
        <w:t xml:space="preserve">, </w:t>
      </w:r>
      <w:r w:rsidRPr="00A1149C">
        <w:t>delivery</w:t>
      </w:r>
      <w:r w:rsidR="003D2C1D" w:rsidRPr="00A1149C">
        <w:t xml:space="preserve"> and quality monitoring of this area of service provision is the </w:t>
      </w:r>
      <w:r w:rsidRPr="00A1149C">
        <w:t>responsibility</w:t>
      </w:r>
      <w:r w:rsidR="00ED684F" w:rsidRPr="00A1149C">
        <w:t xml:space="preserve"> of the Oxfordshire Safeguarding C</w:t>
      </w:r>
      <w:r w:rsidR="003D2C1D" w:rsidRPr="00A1149C">
        <w:t xml:space="preserve">hildren </w:t>
      </w:r>
      <w:r w:rsidR="00ED684F" w:rsidRPr="00A1149C">
        <w:t>B</w:t>
      </w:r>
      <w:r w:rsidRPr="00A1149C">
        <w:t>oard</w:t>
      </w:r>
      <w:r w:rsidR="003D2C1D" w:rsidRPr="00A1149C">
        <w:t xml:space="preserve"> </w:t>
      </w:r>
      <w:r w:rsidR="00206D2B" w:rsidRPr="00A1149C">
        <w:t>(</w:t>
      </w:r>
      <w:r w:rsidR="003D2C1D" w:rsidRPr="00A1149C">
        <w:t>OSCB</w:t>
      </w:r>
      <w:r w:rsidR="00206D2B" w:rsidRPr="00A1149C">
        <w:t>)</w:t>
      </w:r>
      <w:r w:rsidR="003D2C1D" w:rsidRPr="00A1149C">
        <w:t xml:space="preserve"> </w:t>
      </w:r>
      <w:r w:rsidRPr="00A1149C">
        <w:t>and</w:t>
      </w:r>
      <w:r w:rsidR="003D2C1D" w:rsidRPr="00A1149C">
        <w:t xml:space="preserve"> </w:t>
      </w:r>
      <w:r w:rsidRPr="00A1149C">
        <w:t>Oxfordshire</w:t>
      </w:r>
      <w:r w:rsidR="00ED684F" w:rsidRPr="00A1149C">
        <w:t xml:space="preserve"> S</w:t>
      </w:r>
      <w:r w:rsidR="003D2C1D" w:rsidRPr="00A1149C">
        <w:t xml:space="preserve">afeguarding Adults Board </w:t>
      </w:r>
      <w:r w:rsidR="00206D2B" w:rsidRPr="00A1149C">
        <w:t>(</w:t>
      </w:r>
      <w:r w:rsidR="003D2C1D" w:rsidRPr="00A1149C">
        <w:t>OSAB</w:t>
      </w:r>
      <w:r w:rsidR="00206D2B" w:rsidRPr="00A1149C">
        <w:t>)</w:t>
      </w:r>
      <w:r w:rsidR="003D2C1D" w:rsidRPr="00A1149C">
        <w:t>. Oxford City Council is represented on both of these</w:t>
      </w:r>
      <w:r w:rsidR="00E80095" w:rsidRPr="00A1149C">
        <w:t xml:space="preserve"> </w:t>
      </w:r>
      <w:r w:rsidR="00ED684F" w:rsidRPr="00A1149C">
        <w:t>B</w:t>
      </w:r>
      <w:r w:rsidR="001D0180" w:rsidRPr="00A1149C">
        <w:t>oards and a</w:t>
      </w:r>
      <w:r w:rsidR="003D2C1D" w:rsidRPr="00A1149C">
        <w:t>s a</w:t>
      </w:r>
      <w:r w:rsidR="00E80095" w:rsidRPr="00A1149C">
        <w:t xml:space="preserve"> key partner </w:t>
      </w:r>
      <w:r w:rsidR="001D0180" w:rsidRPr="00A1149C">
        <w:t>a</w:t>
      </w:r>
      <w:r w:rsidR="003D2C1D" w:rsidRPr="00A1149C">
        <w:t>ctively contribute</w:t>
      </w:r>
      <w:r w:rsidR="00CE5F6D" w:rsidRPr="00A1149C">
        <w:t>s</w:t>
      </w:r>
      <w:r w:rsidR="003D2C1D" w:rsidRPr="00A1149C">
        <w:t xml:space="preserve"> </w:t>
      </w:r>
      <w:r w:rsidR="000C26E4" w:rsidRPr="00A1149C">
        <w:t xml:space="preserve">to </w:t>
      </w:r>
      <w:r w:rsidRPr="00A1149C">
        <w:t>safeguarding</w:t>
      </w:r>
      <w:r w:rsidR="003D2C1D" w:rsidRPr="00A1149C">
        <w:t xml:space="preserve"> and</w:t>
      </w:r>
      <w:r w:rsidR="000C26E4" w:rsidRPr="00A1149C">
        <w:t xml:space="preserve"> the </w:t>
      </w:r>
      <w:r w:rsidRPr="00A1149C">
        <w:t>promoti</w:t>
      </w:r>
      <w:r w:rsidR="000C26E4" w:rsidRPr="00A1149C">
        <w:t xml:space="preserve">on of </w:t>
      </w:r>
      <w:r w:rsidR="003D2C1D" w:rsidRPr="00A1149C">
        <w:t xml:space="preserve">health and </w:t>
      </w:r>
      <w:r w:rsidRPr="00A1149C">
        <w:t>wellbeing</w:t>
      </w:r>
      <w:r w:rsidR="003D2C1D" w:rsidRPr="00A1149C">
        <w:t xml:space="preserve"> of children and </w:t>
      </w:r>
      <w:r w:rsidRPr="00A1149C">
        <w:t>vulnerable</w:t>
      </w:r>
      <w:r w:rsidR="003D2C1D" w:rsidRPr="00A1149C">
        <w:t xml:space="preserve"> adults within </w:t>
      </w:r>
      <w:r w:rsidR="000C26E4" w:rsidRPr="00A1149C">
        <w:t>the city.</w:t>
      </w:r>
      <w:r w:rsidR="006C6097" w:rsidRPr="00A1149C">
        <w:t xml:space="preserve"> </w:t>
      </w:r>
    </w:p>
    <w:p w:rsidR="00401A91" w:rsidRPr="00A1149C" w:rsidRDefault="00401A91" w:rsidP="00984347">
      <w:pPr>
        <w:shd w:val="clear" w:color="auto" w:fill="FFFFFF"/>
        <w:spacing w:before="180" w:after="180" w:line="330" w:lineRule="atLeast"/>
        <w:rPr>
          <w:rFonts w:cs="Arial"/>
          <w:b/>
          <w:color w:val="auto"/>
        </w:rPr>
      </w:pPr>
      <w:r w:rsidRPr="00A1149C">
        <w:rPr>
          <w:rFonts w:cs="Arial"/>
          <w:b/>
          <w:color w:val="auto"/>
        </w:rPr>
        <w:t>Introduction</w:t>
      </w:r>
    </w:p>
    <w:p w:rsidR="00206D2B" w:rsidRPr="00A1149C" w:rsidRDefault="000C26E4" w:rsidP="00354373">
      <w:pPr>
        <w:pStyle w:val="bParagraphtext"/>
      </w:pPr>
      <w:r w:rsidRPr="00A1149C">
        <w:t>This report aims to:</w:t>
      </w:r>
    </w:p>
    <w:p w:rsidR="00F37FC7" w:rsidRPr="00A1149C" w:rsidRDefault="00206D2B" w:rsidP="000C26E4">
      <w:pPr>
        <w:pStyle w:val="ListParagraph"/>
        <w:numPr>
          <w:ilvl w:val="0"/>
          <w:numId w:val="11"/>
        </w:numPr>
        <w:shd w:val="clear" w:color="auto" w:fill="FFFFFF"/>
        <w:spacing w:after="0"/>
        <w:ind w:hanging="357"/>
        <w:rPr>
          <w:rFonts w:cs="Arial"/>
          <w:color w:val="auto"/>
        </w:rPr>
      </w:pPr>
      <w:r w:rsidRPr="00A1149C">
        <w:rPr>
          <w:rFonts w:cs="Arial"/>
          <w:color w:val="auto"/>
        </w:rPr>
        <w:t>H</w:t>
      </w:r>
      <w:r w:rsidR="00F37FC7" w:rsidRPr="00A1149C">
        <w:rPr>
          <w:rFonts w:cs="Arial"/>
          <w:color w:val="auto"/>
        </w:rPr>
        <w:t xml:space="preserve">ighlight the key </w:t>
      </w:r>
      <w:r w:rsidR="00580595" w:rsidRPr="00A1149C">
        <w:rPr>
          <w:rFonts w:cs="Arial"/>
          <w:color w:val="auto"/>
        </w:rPr>
        <w:t>achievements and</w:t>
      </w:r>
      <w:r w:rsidR="00F37FC7" w:rsidRPr="00A1149C">
        <w:rPr>
          <w:rFonts w:cs="Arial"/>
          <w:color w:val="auto"/>
        </w:rPr>
        <w:t xml:space="preserve"> progress made in relation to </w:t>
      </w:r>
      <w:r w:rsidRPr="00A1149C">
        <w:rPr>
          <w:rFonts w:cs="Arial"/>
          <w:color w:val="auto"/>
        </w:rPr>
        <w:t xml:space="preserve">the </w:t>
      </w:r>
      <w:r w:rsidR="00580595" w:rsidRPr="00A1149C">
        <w:rPr>
          <w:rFonts w:cs="Arial"/>
          <w:color w:val="auto"/>
        </w:rPr>
        <w:t>safeguarding</w:t>
      </w:r>
      <w:r w:rsidR="00F37FC7" w:rsidRPr="00A1149C">
        <w:rPr>
          <w:rFonts w:cs="Arial"/>
          <w:color w:val="auto"/>
        </w:rPr>
        <w:t xml:space="preserve"> work delivered </w:t>
      </w:r>
      <w:r w:rsidRPr="00A1149C">
        <w:rPr>
          <w:rFonts w:cs="Arial"/>
          <w:color w:val="auto"/>
        </w:rPr>
        <w:t>by</w:t>
      </w:r>
      <w:r w:rsidR="00F37FC7" w:rsidRPr="00A1149C">
        <w:rPr>
          <w:rFonts w:cs="Arial"/>
          <w:color w:val="auto"/>
        </w:rPr>
        <w:t xml:space="preserve"> Oxford City Council this year</w:t>
      </w:r>
      <w:r w:rsidR="002E11D4" w:rsidRPr="00A1149C">
        <w:rPr>
          <w:rFonts w:cs="Arial"/>
          <w:color w:val="auto"/>
        </w:rPr>
        <w:t xml:space="preserve"> i</w:t>
      </w:r>
      <w:r w:rsidR="00F37FC7" w:rsidRPr="00A1149C">
        <w:rPr>
          <w:rFonts w:cs="Arial"/>
          <w:color w:val="auto"/>
        </w:rPr>
        <w:t>nclus</w:t>
      </w:r>
      <w:r w:rsidRPr="00A1149C">
        <w:rPr>
          <w:rFonts w:cs="Arial"/>
          <w:color w:val="auto"/>
        </w:rPr>
        <w:t xml:space="preserve">ive of </w:t>
      </w:r>
      <w:r w:rsidR="002E11D4" w:rsidRPr="00A1149C">
        <w:rPr>
          <w:rFonts w:cs="Arial"/>
          <w:color w:val="auto"/>
        </w:rPr>
        <w:t xml:space="preserve">the </w:t>
      </w:r>
      <w:r w:rsidRPr="00A1149C">
        <w:rPr>
          <w:rFonts w:cs="Arial"/>
          <w:color w:val="auto"/>
        </w:rPr>
        <w:t xml:space="preserve">recommendations made </w:t>
      </w:r>
      <w:r w:rsidR="002E11D4" w:rsidRPr="00A1149C">
        <w:rPr>
          <w:rFonts w:cs="Arial"/>
          <w:color w:val="auto"/>
        </w:rPr>
        <w:t xml:space="preserve">by the Scrutiny Committee on </w:t>
      </w:r>
      <w:r w:rsidRPr="00A1149C">
        <w:rPr>
          <w:rFonts w:cs="Arial"/>
          <w:color w:val="auto"/>
        </w:rPr>
        <w:t>16 June 2016.</w:t>
      </w:r>
    </w:p>
    <w:p w:rsidR="000C26E4" w:rsidRPr="00A1149C" w:rsidRDefault="000C26E4" w:rsidP="000C26E4">
      <w:pPr>
        <w:pStyle w:val="ListParagraph"/>
        <w:numPr>
          <w:ilvl w:val="0"/>
          <w:numId w:val="11"/>
        </w:numPr>
        <w:shd w:val="clear" w:color="auto" w:fill="FFFFFF"/>
        <w:spacing w:after="0"/>
        <w:ind w:hanging="357"/>
        <w:rPr>
          <w:rFonts w:cs="Arial"/>
          <w:color w:val="auto"/>
        </w:rPr>
      </w:pPr>
      <w:r w:rsidRPr="00A1149C">
        <w:rPr>
          <w:rFonts w:cs="Arial"/>
          <w:color w:val="auto"/>
        </w:rPr>
        <w:t>Share the results of the external safeguarding self-assessment 201</w:t>
      </w:r>
      <w:r w:rsidR="006C6097" w:rsidRPr="00A1149C">
        <w:rPr>
          <w:rFonts w:cs="Arial"/>
          <w:color w:val="auto"/>
        </w:rPr>
        <w:t>6</w:t>
      </w:r>
      <w:r w:rsidRPr="00A1149C">
        <w:rPr>
          <w:rFonts w:cs="Arial"/>
          <w:color w:val="auto"/>
        </w:rPr>
        <w:t xml:space="preserve"> (Section 11).</w:t>
      </w:r>
    </w:p>
    <w:p w:rsidR="00F37FC7" w:rsidRPr="00A1149C" w:rsidRDefault="00F37FC7" w:rsidP="000C26E4">
      <w:pPr>
        <w:pStyle w:val="ListParagraph"/>
        <w:numPr>
          <w:ilvl w:val="0"/>
          <w:numId w:val="11"/>
        </w:numPr>
        <w:shd w:val="clear" w:color="auto" w:fill="FFFFFF"/>
        <w:spacing w:after="0"/>
        <w:ind w:hanging="357"/>
        <w:rPr>
          <w:rFonts w:cs="Arial"/>
          <w:color w:val="auto"/>
        </w:rPr>
      </w:pPr>
      <w:r w:rsidRPr="00A1149C">
        <w:rPr>
          <w:rFonts w:cs="Arial"/>
          <w:color w:val="auto"/>
        </w:rPr>
        <w:t xml:space="preserve">Focus on areas </w:t>
      </w:r>
      <w:r w:rsidR="00580595" w:rsidRPr="00A1149C">
        <w:rPr>
          <w:rFonts w:cs="Arial"/>
          <w:color w:val="auto"/>
        </w:rPr>
        <w:t>identified</w:t>
      </w:r>
      <w:r w:rsidRPr="00A1149C">
        <w:rPr>
          <w:rFonts w:cs="Arial"/>
          <w:color w:val="auto"/>
        </w:rPr>
        <w:t xml:space="preserve"> for further improvement </w:t>
      </w:r>
      <w:r w:rsidR="00F30DBE">
        <w:rPr>
          <w:rFonts w:cs="Arial"/>
          <w:color w:val="auto"/>
        </w:rPr>
        <w:t xml:space="preserve">in </w:t>
      </w:r>
      <w:r w:rsidRPr="00A1149C">
        <w:rPr>
          <w:rFonts w:cs="Arial"/>
          <w:color w:val="auto"/>
        </w:rPr>
        <w:t>2017/18</w:t>
      </w:r>
      <w:r w:rsidR="00F30DBE">
        <w:rPr>
          <w:rFonts w:cs="Arial"/>
          <w:color w:val="auto"/>
        </w:rPr>
        <w:t>:</w:t>
      </w:r>
      <w:r w:rsidR="00150F28" w:rsidRPr="00A1149C">
        <w:rPr>
          <w:rFonts w:cs="Arial"/>
          <w:color w:val="auto"/>
        </w:rPr>
        <w:t xml:space="preserve"> collated within an action</w:t>
      </w:r>
      <w:r w:rsidR="00206D2B" w:rsidRPr="00A1149C">
        <w:rPr>
          <w:rFonts w:cs="Arial"/>
          <w:color w:val="auto"/>
        </w:rPr>
        <w:t xml:space="preserve"> plan </w:t>
      </w:r>
      <w:r w:rsidR="00F30DBE">
        <w:rPr>
          <w:rFonts w:cs="Arial"/>
          <w:color w:val="auto"/>
        </w:rPr>
        <w:t>a</w:t>
      </w:r>
      <w:r w:rsidR="00206D2B" w:rsidRPr="00A1149C">
        <w:rPr>
          <w:rFonts w:cs="Arial"/>
          <w:color w:val="auto"/>
        </w:rPr>
        <w:t>ttached a</w:t>
      </w:r>
      <w:r w:rsidR="00F30DBE">
        <w:rPr>
          <w:rFonts w:cs="Arial"/>
          <w:color w:val="auto"/>
        </w:rPr>
        <w:t>t</w:t>
      </w:r>
      <w:r w:rsidR="00206D2B" w:rsidRPr="00A1149C">
        <w:rPr>
          <w:rFonts w:cs="Arial"/>
          <w:color w:val="auto"/>
        </w:rPr>
        <w:t xml:space="preserve"> </w:t>
      </w:r>
      <w:r w:rsidR="00F30DBE">
        <w:rPr>
          <w:rFonts w:cs="Arial"/>
          <w:color w:val="auto"/>
        </w:rPr>
        <w:t>A</w:t>
      </w:r>
      <w:r w:rsidR="00206D2B" w:rsidRPr="00A1149C">
        <w:rPr>
          <w:rFonts w:cs="Arial"/>
          <w:color w:val="auto"/>
        </w:rPr>
        <w:t>ppendix 1.</w:t>
      </w:r>
    </w:p>
    <w:p w:rsidR="00F37FC7" w:rsidRPr="00A1149C" w:rsidRDefault="00150F28" w:rsidP="000C26E4">
      <w:pPr>
        <w:pStyle w:val="ListParagraph"/>
        <w:numPr>
          <w:ilvl w:val="0"/>
          <w:numId w:val="11"/>
        </w:numPr>
        <w:shd w:val="clear" w:color="auto" w:fill="FFFFFF"/>
        <w:spacing w:after="0"/>
        <w:ind w:hanging="357"/>
        <w:rPr>
          <w:rFonts w:cs="Arial"/>
          <w:color w:val="auto"/>
        </w:rPr>
      </w:pPr>
      <w:r w:rsidRPr="00A1149C">
        <w:rPr>
          <w:rFonts w:cs="Arial"/>
          <w:color w:val="auto"/>
        </w:rPr>
        <w:t xml:space="preserve">Consider </w:t>
      </w:r>
      <w:r w:rsidR="00CE5F6D" w:rsidRPr="00A1149C">
        <w:rPr>
          <w:rFonts w:cs="Arial"/>
          <w:color w:val="auto"/>
        </w:rPr>
        <w:t>c</w:t>
      </w:r>
      <w:r w:rsidR="00F37FC7" w:rsidRPr="00A1149C">
        <w:rPr>
          <w:rFonts w:cs="Arial"/>
          <w:color w:val="auto"/>
        </w:rPr>
        <w:t>hall</w:t>
      </w:r>
      <w:r w:rsidR="00206D2B" w:rsidRPr="00A1149C">
        <w:rPr>
          <w:rFonts w:cs="Arial"/>
          <w:color w:val="auto"/>
        </w:rPr>
        <w:t>enges and</w:t>
      </w:r>
      <w:r w:rsidR="00CE5F6D" w:rsidRPr="00A1149C">
        <w:rPr>
          <w:rFonts w:cs="Arial"/>
          <w:color w:val="auto"/>
        </w:rPr>
        <w:t xml:space="preserve"> r</w:t>
      </w:r>
      <w:r w:rsidRPr="00A1149C">
        <w:rPr>
          <w:rFonts w:cs="Arial"/>
          <w:color w:val="auto"/>
        </w:rPr>
        <w:t xml:space="preserve">isks in relation to external </w:t>
      </w:r>
      <w:r w:rsidR="00206D2B" w:rsidRPr="00A1149C">
        <w:rPr>
          <w:rFonts w:cs="Arial"/>
          <w:color w:val="auto"/>
        </w:rPr>
        <w:t>service changes</w:t>
      </w:r>
      <w:r w:rsidR="009D2F3F" w:rsidRPr="00A1149C">
        <w:rPr>
          <w:rFonts w:cs="Arial"/>
          <w:color w:val="auto"/>
        </w:rPr>
        <w:t xml:space="preserve"> and actions identified within the plan.</w:t>
      </w:r>
    </w:p>
    <w:p w:rsidR="00EE063B" w:rsidRPr="00A1149C" w:rsidRDefault="001D6BF8" w:rsidP="000C26E4">
      <w:pPr>
        <w:shd w:val="clear" w:color="auto" w:fill="FFFFFF"/>
        <w:spacing w:before="180" w:after="180" w:line="330" w:lineRule="atLeast"/>
        <w:ind w:left="426" w:hanging="426"/>
        <w:rPr>
          <w:rFonts w:cs="Arial"/>
          <w:b/>
          <w:color w:val="auto"/>
        </w:rPr>
      </w:pPr>
      <w:r w:rsidRPr="00A1149C">
        <w:rPr>
          <w:rFonts w:cs="Arial"/>
          <w:b/>
          <w:color w:val="auto"/>
        </w:rPr>
        <w:t>Self-Assessment</w:t>
      </w:r>
      <w:r w:rsidR="00EE063B" w:rsidRPr="00A1149C">
        <w:rPr>
          <w:rFonts w:cs="Arial"/>
          <w:b/>
          <w:color w:val="auto"/>
        </w:rPr>
        <w:t xml:space="preserve"> 2016 (</w:t>
      </w:r>
      <w:r w:rsidR="00CE5F6D" w:rsidRPr="00A1149C">
        <w:rPr>
          <w:rFonts w:cs="Arial"/>
          <w:b/>
          <w:color w:val="auto"/>
        </w:rPr>
        <w:t>S</w:t>
      </w:r>
      <w:r w:rsidR="00EE063B" w:rsidRPr="00A1149C">
        <w:rPr>
          <w:rFonts w:cs="Arial"/>
          <w:b/>
          <w:color w:val="auto"/>
        </w:rPr>
        <w:t>ection 11)</w:t>
      </w:r>
    </w:p>
    <w:p w:rsidR="004262B7" w:rsidRPr="00A1149C" w:rsidRDefault="002E11D4" w:rsidP="00354373">
      <w:pPr>
        <w:pStyle w:val="bParagraphtext"/>
      </w:pPr>
      <w:r w:rsidRPr="00A1149C">
        <w:t>The Counci</w:t>
      </w:r>
      <w:r w:rsidR="004E493E" w:rsidRPr="00A1149C">
        <w:t xml:space="preserve">l </w:t>
      </w:r>
      <w:r w:rsidRPr="00A1149C">
        <w:t xml:space="preserve">is </w:t>
      </w:r>
      <w:r w:rsidR="004E493E" w:rsidRPr="00A1149C">
        <w:t xml:space="preserve">legally required to complete an annual </w:t>
      </w:r>
      <w:r w:rsidR="00FC46FD" w:rsidRPr="00A1149C">
        <w:t>self-assessment</w:t>
      </w:r>
      <w:r w:rsidR="004E493E" w:rsidRPr="00A1149C">
        <w:t xml:space="preserve"> to evidence </w:t>
      </w:r>
      <w:r w:rsidR="00FC46FD" w:rsidRPr="00A1149C">
        <w:t>standards</w:t>
      </w:r>
      <w:r w:rsidR="004E493E" w:rsidRPr="00A1149C">
        <w:t xml:space="preserve"> in the quality of our </w:t>
      </w:r>
      <w:r w:rsidR="00FC46FD" w:rsidRPr="00A1149C">
        <w:t>safeguarding</w:t>
      </w:r>
      <w:r w:rsidR="004E493E" w:rsidRPr="00A1149C">
        <w:t xml:space="preserve"> work.</w:t>
      </w:r>
      <w:r w:rsidR="000C26E4" w:rsidRPr="00A1149C">
        <w:t xml:space="preserve"> </w:t>
      </w:r>
      <w:r w:rsidR="00016A27" w:rsidRPr="00A1149C">
        <w:t>This year the Self- Assessment Audit was a joint audi</w:t>
      </w:r>
      <w:r w:rsidR="000C26E4" w:rsidRPr="00A1149C">
        <w:t xml:space="preserve">t between the OSCB and OSAB. </w:t>
      </w:r>
      <w:r w:rsidRPr="00A1149C">
        <w:t xml:space="preserve">The Council is </w:t>
      </w:r>
      <w:r w:rsidR="00893EF3" w:rsidRPr="00A1149C">
        <w:t>req</w:t>
      </w:r>
      <w:r w:rsidR="00016A27" w:rsidRPr="00A1149C">
        <w:t>u</w:t>
      </w:r>
      <w:r w:rsidR="00893EF3" w:rsidRPr="00A1149C">
        <w:t>ired to evidence</w:t>
      </w:r>
      <w:r w:rsidR="00D1349A" w:rsidRPr="00A1149C">
        <w:t xml:space="preserve"> </w:t>
      </w:r>
      <w:r w:rsidR="00E67F7B">
        <w:t>its</w:t>
      </w:r>
      <w:r w:rsidR="00D1349A" w:rsidRPr="00A1149C">
        <w:t xml:space="preserve"> standard of work</w:t>
      </w:r>
      <w:r w:rsidR="00893EF3" w:rsidRPr="00A1149C">
        <w:t xml:space="preserve"> </w:t>
      </w:r>
      <w:r w:rsidR="00016A27" w:rsidRPr="00A1149C">
        <w:t>in the following</w:t>
      </w:r>
      <w:r w:rsidR="000C26E4" w:rsidRPr="00A1149C">
        <w:t xml:space="preserve"> areas:</w:t>
      </w:r>
    </w:p>
    <w:p w:rsidR="000C26E4" w:rsidRPr="00A1149C" w:rsidRDefault="000C26E4" w:rsidP="000C26E4">
      <w:pPr>
        <w:pStyle w:val="ListParagraph"/>
        <w:numPr>
          <w:ilvl w:val="0"/>
          <w:numId w:val="0"/>
        </w:numPr>
        <w:shd w:val="clear" w:color="auto" w:fill="FFFFFF"/>
        <w:spacing w:after="0"/>
        <w:ind w:left="641"/>
        <w:rPr>
          <w:rFonts w:cs="Arial"/>
          <w:color w:val="auto"/>
        </w:rPr>
      </w:pPr>
    </w:p>
    <w:p w:rsidR="004262B7" w:rsidRPr="00A1149C" w:rsidRDefault="004262B7" w:rsidP="004262B7">
      <w:pPr>
        <w:numPr>
          <w:ilvl w:val="0"/>
          <w:numId w:val="19"/>
        </w:numPr>
        <w:spacing w:after="200"/>
        <w:contextualSpacing/>
        <w:rPr>
          <w:rFonts w:eastAsia="Cambria" w:cs="Arial"/>
          <w:color w:val="auto"/>
          <w:lang w:val="en-US" w:eastAsia="en-US"/>
        </w:rPr>
      </w:pPr>
      <w:r w:rsidRPr="00A1149C">
        <w:rPr>
          <w:rFonts w:eastAsia="Cambria" w:cs="Arial"/>
          <w:color w:val="auto"/>
          <w:lang w:val="en-US" w:eastAsia="en-US"/>
        </w:rPr>
        <w:t>Leadership, Strategy and Working Together</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Senior management have commitment to the importance of safeguarding and promoting the welfare of children and adults with care and support needs</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There is a clear statement of the agency’s responsibility towards children and adults with care and support needs and this is available to all staff</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Local Safeguarding Board Effectiveness</w:t>
      </w:r>
    </w:p>
    <w:p w:rsidR="000C26E4" w:rsidRPr="00A1149C" w:rsidRDefault="000C26E4" w:rsidP="000C26E4">
      <w:pPr>
        <w:spacing w:after="200"/>
        <w:contextualSpacing/>
        <w:rPr>
          <w:rFonts w:eastAsia="Cambria" w:cs="Arial"/>
          <w:color w:val="auto"/>
          <w:lang w:val="en-US" w:eastAsia="en-US"/>
        </w:rPr>
      </w:pPr>
    </w:p>
    <w:p w:rsidR="004262B7" w:rsidRPr="00A1149C" w:rsidRDefault="004262B7" w:rsidP="004262B7">
      <w:pPr>
        <w:numPr>
          <w:ilvl w:val="0"/>
          <w:numId w:val="19"/>
        </w:numPr>
        <w:spacing w:after="200"/>
        <w:contextualSpacing/>
        <w:rPr>
          <w:rFonts w:eastAsia="Cambria" w:cs="Arial"/>
          <w:color w:val="auto"/>
          <w:lang w:val="en-US" w:eastAsia="en-US"/>
        </w:rPr>
      </w:pPr>
      <w:r w:rsidRPr="00A1149C">
        <w:rPr>
          <w:rFonts w:eastAsia="Cambria" w:cs="Arial"/>
          <w:color w:val="auto"/>
          <w:lang w:val="en-US" w:eastAsia="en-US"/>
        </w:rPr>
        <w:t>Commissioning, Service Delivery and Effective Practice</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Service development takes into account the need to safeguard and promote welfare and is informed, where appropriate, by the views of children and adults with care and support needs &amp; families</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There is effective inter-agency working to safeguard &amp; promote the welfare of children and adults with care and support needs</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 xml:space="preserve">There is effective </w:t>
      </w:r>
      <w:r w:rsidR="00AA3FB9">
        <w:rPr>
          <w:rFonts w:eastAsia="Cambria" w:cs="Arial"/>
          <w:color w:val="auto"/>
          <w:lang w:val="en-US" w:eastAsia="en-US"/>
        </w:rPr>
        <w:t>i</w:t>
      </w:r>
      <w:r w:rsidRPr="00A1149C">
        <w:rPr>
          <w:rFonts w:eastAsia="Cambria" w:cs="Arial"/>
          <w:color w:val="auto"/>
          <w:lang w:val="en-US" w:eastAsia="en-US"/>
        </w:rPr>
        <w:t xml:space="preserve">nformation </w:t>
      </w:r>
      <w:r w:rsidR="00AA3FB9">
        <w:rPr>
          <w:rFonts w:eastAsia="Cambria" w:cs="Arial"/>
          <w:color w:val="auto"/>
          <w:lang w:val="en-US" w:eastAsia="en-US"/>
        </w:rPr>
        <w:t>s</w:t>
      </w:r>
      <w:r w:rsidRPr="00A1149C">
        <w:rPr>
          <w:rFonts w:eastAsia="Cambria" w:cs="Arial"/>
          <w:color w:val="auto"/>
          <w:lang w:val="en-US" w:eastAsia="en-US"/>
        </w:rPr>
        <w:t>haring</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Commissioning arrangements are robust, effective and cost-effective</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Thematic Issue: Transport of children and adults with care and support needs</w:t>
      </w:r>
    </w:p>
    <w:p w:rsidR="000C26E4" w:rsidRPr="00A1149C" w:rsidRDefault="000C26E4" w:rsidP="000C26E4">
      <w:pPr>
        <w:spacing w:after="200"/>
        <w:contextualSpacing/>
        <w:rPr>
          <w:rFonts w:eastAsia="Cambria" w:cs="Arial"/>
          <w:color w:val="auto"/>
          <w:lang w:val="en-US" w:eastAsia="en-US"/>
        </w:rPr>
      </w:pPr>
    </w:p>
    <w:p w:rsidR="004262B7" w:rsidRPr="00A1149C" w:rsidRDefault="004262B7" w:rsidP="004262B7">
      <w:pPr>
        <w:numPr>
          <w:ilvl w:val="0"/>
          <w:numId w:val="19"/>
        </w:numPr>
        <w:spacing w:after="200"/>
        <w:contextualSpacing/>
        <w:rPr>
          <w:rFonts w:eastAsia="Cambria" w:cs="Arial"/>
          <w:color w:val="auto"/>
          <w:lang w:val="en-US" w:eastAsia="en-US"/>
        </w:rPr>
      </w:pPr>
      <w:r w:rsidRPr="00A1149C">
        <w:rPr>
          <w:rFonts w:eastAsia="Cambria" w:cs="Arial"/>
          <w:color w:val="auto"/>
          <w:lang w:val="en-US" w:eastAsia="en-US"/>
        </w:rPr>
        <w:t>Performance &amp; Resource Management</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lastRenderedPageBreak/>
        <w:t>There is effective training on safeguarding &amp; promoting the welfare of children and adults with care and support needs for all staff working with or, depending on the agency’s primary functions, in contact with children and adults with care and support needs</w:t>
      </w:r>
    </w:p>
    <w:p w:rsidR="004262B7" w:rsidRPr="00A1149C" w:rsidRDefault="004262B7" w:rsidP="004262B7">
      <w:pPr>
        <w:numPr>
          <w:ilvl w:val="1"/>
          <w:numId w:val="19"/>
        </w:numPr>
        <w:spacing w:after="200"/>
        <w:contextualSpacing/>
        <w:rPr>
          <w:rFonts w:eastAsia="Cambria" w:cs="Arial"/>
          <w:color w:val="auto"/>
          <w:lang w:val="en-US" w:eastAsia="en-US"/>
        </w:rPr>
      </w:pPr>
      <w:r w:rsidRPr="00A1149C">
        <w:rPr>
          <w:rFonts w:eastAsia="Cambria" w:cs="Arial"/>
          <w:color w:val="auto"/>
          <w:lang w:val="en-US" w:eastAsia="en-US"/>
        </w:rPr>
        <w:t>Safer recruitment procedures including vetting procedures and those for managing allegations are in place</w:t>
      </w:r>
    </w:p>
    <w:p w:rsidR="000C26E4" w:rsidRPr="00A1149C" w:rsidRDefault="000C26E4" w:rsidP="000C26E4">
      <w:pPr>
        <w:spacing w:after="200"/>
        <w:contextualSpacing/>
        <w:rPr>
          <w:rFonts w:eastAsia="Cambria" w:cs="Arial"/>
          <w:color w:val="auto"/>
          <w:lang w:val="en-US" w:eastAsia="en-US"/>
        </w:rPr>
      </w:pPr>
    </w:p>
    <w:p w:rsidR="004262B7" w:rsidRPr="00A1149C" w:rsidRDefault="004262B7" w:rsidP="004262B7">
      <w:pPr>
        <w:numPr>
          <w:ilvl w:val="0"/>
          <w:numId w:val="19"/>
        </w:numPr>
        <w:spacing w:after="200"/>
        <w:contextualSpacing/>
        <w:rPr>
          <w:rFonts w:eastAsia="Cambria" w:cs="Arial"/>
          <w:color w:val="auto"/>
          <w:lang w:val="en-US" w:eastAsia="en-US"/>
        </w:rPr>
      </w:pPr>
      <w:r w:rsidRPr="00A1149C">
        <w:rPr>
          <w:rFonts w:eastAsia="Cambria" w:cs="Arial"/>
          <w:color w:val="auto"/>
          <w:lang w:val="en-US" w:eastAsia="en-US"/>
        </w:rPr>
        <w:t>Outcomes for, and Experiences of, People Who Use Statutory Services</w:t>
      </w:r>
    </w:p>
    <w:p w:rsidR="004262B7" w:rsidRPr="00A1149C" w:rsidRDefault="004262B7" w:rsidP="004262B7">
      <w:pPr>
        <w:numPr>
          <w:ilvl w:val="1"/>
          <w:numId w:val="19"/>
        </w:numPr>
        <w:spacing w:after="200"/>
        <w:contextualSpacing/>
        <w:rPr>
          <w:rFonts w:eastAsia="Arial" w:cs="Arial"/>
          <w:bCs/>
          <w:color w:val="231F20"/>
          <w:lang w:val="en-US" w:eastAsia="en-US"/>
        </w:rPr>
      </w:pPr>
      <w:r w:rsidRPr="00A1149C">
        <w:rPr>
          <w:rFonts w:eastAsia="Arial" w:cs="Arial"/>
          <w:bCs/>
          <w:color w:val="231F20"/>
          <w:lang w:val="en-US" w:eastAsia="en-US"/>
        </w:rPr>
        <w:t>People’s experiences</w:t>
      </w:r>
      <w:r w:rsidRPr="00A1149C">
        <w:rPr>
          <w:rFonts w:eastAsia="Arial" w:cs="Arial"/>
          <w:bCs/>
          <w:color w:val="231F20"/>
          <w:spacing w:val="-1"/>
          <w:lang w:val="en-US" w:eastAsia="en-US"/>
        </w:rPr>
        <w:t xml:space="preserve"> </w:t>
      </w:r>
      <w:r w:rsidRPr="00A1149C">
        <w:rPr>
          <w:rFonts w:eastAsia="Arial" w:cs="Arial"/>
          <w:bCs/>
          <w:color w:val="231F20"/>
          <w:lang w:val="en-US" w:eastAsia="en-US"/>
        </w:rPr>
        <w:t>of</w:t>
      </w:r>
      <w:r w:rsidRPr="00A1149C">
        <w:rPr>
          <w:rFonts w:eastAsia="Arial" w:cs="Arial"/>
          <w:bCs/>
          <w:color w:val="231F20"/>
          <w:spacing w:val="-2"/>
          <w:lang w:val="en-US" w:eastAsia="en-US"/>
        </w:rPr>
        <w:t xml:space="preserve"> </w:t>
      </w:r>
      <w:r w:rsidRPr="00A1149C">
        <w:rPr>
          <w:rFonts w:eastAsia="Arial" w:cs="Arial"/>
          <w:bCs/>
          <w:color w:val="231F20"/>
          <w:lang w:val="en-US" w:eastAsia="en-US"/>
        </w:rPr>
        <w:t>safeguarding</w:t>
      </w:r>
    </w:p>
    <w:p w:rsidR="000C26E4" w:rsidRPr="00A1149C" w:rsidRDefault="000C26E4" w:rsidP="000C26E4">
      <w:pPr>
        <w:spacing w:after="200"/>
        <w:contextualSpacing/>
        <w:rPr>
          <w:rFonts w:eastAsia="Arial" w:cs="Arial"/>
          <w:bCs/>
          <w:color w:val="231F20"/>
          <w:lang w:val="en-US" w:eastAsia="en-US"/>
        </w:rPr>
      </w:pPr>
    </w:p>
    <w:p w:rsidR="000C26E4" w:rsidRPr="00A1149C" w:rsidRDefault="000C26E4" w:rsidP="00354373">
      <w:pPr>
        <w:pStyle w:val="bParagraphtext"/>
        <w:rPr>
          <w:rFonts w:eastAsia="Arial"/>
          <w:lang w:val="en-US" w:eastAsia="en-US"/>
        </w:rPr>
      </w:pPr>
      <w:r w:rsidRPr="00A1149C">
        <w:rPr>
          <w:rFonts w:eastAsia="Arial"/>
          <w:lang w:val="en-US" w:eastAsia="en-US"/>
        </w:rPr>
        <w:t>Oxford City Council</w:t>
      </w:r>
      <w:r w:rsidR="00AA3FB9">
        <w:rPr>
          <w:rFonts w:eastAsia="Arial"/>
          <w:lang w:val="en-US" w:eastAsia="en-US"/>
        </w:rPr>
        <w:t>’s</w:t>
      </w:r>
      <w:r w:rsidRPr="00A1149C">
        <w:rPr>
          <w:rFonts w:eastAsia="Arial"/>
          <w:lang w:val="en-US" w:eastAsia="en-US"/>
        </w:rPr>
        <w:t xml:space="preserve"> Assessed Standards </w:t>
      </w:r>
      <w:r w:rsidR="006C6097" w:rsidRPr="00A1149C">
        <w:rPr>
          <w:rFonts w:eastAsia="Arial"/>
          <w:lang w:val="en-US" w:eastAsia="en-US"/>
        </w:rPr>
        <w:t>were as follows:</w:t>
      </w:r>
    </w:p>
    <w:p w:rsidR="004262B7" w:rsidRPr="00A1149C" w:rsidRDefault="004262B7" w:rsidP="005D6BD6">
      <w:pPr>
        <w:shd w:val="clear" w:color="auto" w:fill="FFFFFF"/>
        <w:spacing w:before="180" w:after="180" w:line="330" w:lineRule="atLeast"/>
        <w:rPr>
          <w:rFonts w:cs="Arial"/>
          <w:color w:val="auto"/>
        </w:rPr>
      </w:pPr>
    </w:p>
    <w:tbl>
      <w:tblPr>
        <w:tblW w:w="8789" w:type="dxa"/>
        <w:tblInd w:w="156" w:type="dxa"/>
        <w:tblCellMar>
          <w:left w:w="0" w:type="dxa"/>
          <w:right w:w="0" w:type="dxa"/>
        </w:tblCellMar>
        <w:tblLook w:val="0600" w:firstRow="0" w:lastRow="0" w:firstColumn="0" w:lastColumn="0" w:noHBand="1" w:noVBand="1"/>
      </w:tblPr>
      <w:tblGrid>
        <w:gridCol w:w="1871"/>
        <w:gridCol w:w="556"/>
        <w:gridCol w:w="690"/>
        <w:gridCol w:w="691"/>
        <w:gridCol w:w="555"/>
        <w:gridCol w:w="555"/>
        <w:gridCol w:w="825"/>
        <w:gridCol w:w="691"/>
        <w:gridCol w:w="555"/>
        <w:gridCol w:w="555"/>
        <w:gridCol w:w="690"/>
        <w:gridCol w:w="555"/>
      </w:tblGrid>
      <w:tr w:rsidR="004262B7" w:rsidRPr="00A1149C" w:rsidTr="00DF45C2">
        <w:tc>
          <w:tcPr>
            <w:tcW w:w="1701"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textAlignment w:val="bottom"/>
              <w:rPr>
                <w:rFonts w:cs="Arial"/>
                <w:color w:val="auto"/>
              </w:rPr>
            </w:pPr>
            <w:r w:rsidRPr="00A1149C">
              <w:rPr>
                <w:rFonts w:cs="Arial"/>
                <w:kern w:val="24"/>
              </w:rPr>
              <w:t>Standard\Agency</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1A</w:t>
            </w:r>
          </w:p>
        </w:tc>
        <w:tc>
          <w:tcPr>
            <w:tcW w:w="709"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1B</w:t>
            </w:r>
          </w:p>
        </w:tc>
        <w:tc>
          <w:tcPr>
            <w:tcW w:w="709"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1C</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2A</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2B</w:t>
            </w:r>
          </w:p>
        </w:tc>
        <w:tc>
          <w:tcPr>
            <w:tcW w:w="850"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2C</w:t>
            </w:r>
          </w:p>
        </w:tc>
        <w:tc>
          <w:tcPr>
            <w:tcW w:w="709"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2D</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2E</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3A</w:t>
            </w:r>
          </w:p>
        </w:tc>
        <w:tc>
          <w:tcPr>
            <w:tcW w:w="709"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3B</w:t>
            </w:r>
          </w:p>
        </w:tc>
        <w:tc>
          <w:tcPr>
            <w:tcW w:w="567"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jc w:val="center"/>
              <w:textAlignment w:val="bottom"/>
              <w:rPr>
                <w:rFonts w:cs="Arial"/>
                <w:color w:val="auto"/>
              </w:rPr>
            </w:pPr>
            <w:r w:rsidRPr="00A1149C">
              <w:rPr>
                <w:rFonts w:cs="Arial"/>
                <w:kern w:val="24"/>
              </w:rPr>
              <w:t>4A</w:t>
            </w:r>
          </w:p>
        </w:tc>
      </w:tr>
      <w:tr w:rsidR="004262B7" w:rsidRPr="00A1149C" w:rsidTr="00DF45C2">
        <w:trPr>
          <w:trHeight w:val="281"/>
        </w:trPr>
        <w:tc>
          <w:tcPr>
            <w:tcW w:w="1701" w:type="dxa"/>
            <w:tcBorders>
              <w:top w:val="single" w:sz="8" w:space="0" w:color="FFFFFF"/>
              <w:left w:val="single" w:sz="8" w:space="0" w:color="FFFFFF"/>
              <w:bottom w:val="single" w:sz="8" w:space="0" w:color="FFFFFF"/>
              <w:right w:val="single" w:sz="8" w:space="0" w:color="FFFFFF"/>
            </w:tcBorders>
            <w:shd w:val="clear" w:color="auto" w:fill="D9D9D9"/>
            <w:tcMar>
              <w:top w:w="14" w:type="dxa"/>
              <w:left w:w="14" w:type="dxa"/>
              <w:bottom w:w="0" w:type="dxa"/>
              <w:right w:w="14" w:type="dxa"/>
            </w:tcMar>
            <w:vAlign w:val="bottom"/>
            <w:hideMark/>
          </w:tcPr>
          <w:p w:rsidR="004262B7" w:rsidRPr="00A1149C" w:rsidRDefault="004262B7" w:rsidP="004262B7">
            <w:pPr>
              <w:spacing w:after="0" w:line="281" w:lineRule="atLeast"/>
              <w:textAlignment w:val="bottom"/>
              <w:rPr>
                <w:rFonts w:cs="Arial"/>
                <w:color w:val="auto"/>
              </w:rPr>
            </w:pPr>
            <w:r w:rsidRPr="00A1149C">
              <w:rPr>
                <w:rFonts w:cs="Arial"/>
                <w:kern w:val="24"/>
              </w:rPr>
              <w:t>Oxford City Council</w:t>
            </w:r>
          </w:p>
        </w:tc>
        <w:tc>
          <w:tcPr>
            <w:tcW w:w="567" w:type="dxa"/>
            <w:tcBorders>
              <w:top w:val="single" w:sz="8" w:space="0" w:color="FFFFFF"/>
              <w:left w:val="single" w:sz="8" w:space="0" w:color="FFFFFF"/>
              <w:bottom w:val="single" w:sz="8" w:space="0" w:color="FFFFFF"/>
              <w:right w:val="single" w:sz="8" w:space="0" w:color="FFFFFF"/>
            </w:tcBorders>
            <w:shd w:val="clear" w:color="auto" w:fill="00B0F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B</w:t>
            </w:r>
          </w:p>
        </w:tc>
        <w:tc>
          <w:tcPr>
            <w:tcW w:w="709"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c>
          <w:tcPr>
            <w:tcW w:w="709" w:type="dxa"/>
            <w:tcBorders>
              <w:top w:val="single" w:sz="8" w:space="0" w:color="FFFFFF"/>
              <w:left w:val="single" w:sz="8" w:space="0" w:color="FFFFFF"/>
              <w:bottom w:val="single" w:sz="8" w:space="0" w:color="FFFFFF"/>
              <w:right w:val="single" w:sz="8" w:space="0" w:color="FFFFFF"/>
            </w:tcBorders>
            <w:shd w:val="clear" w:color="auto" w:fill="00B0F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B</w:t>
            </w:r>
          </w:p>
        </w:tc>
        <w:tc>
          <w:tcPr>
            <w:tcW w:w="567"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c>
          <w:tcPr>
            <w:tcW w:w="567"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c>
          <w:tcPr>
            <w:tcW w:w="850" w:type="dxa"/>
            <w:tcBorders>
              <w:top w:val="single" w:sz="8" w:space="0" w:color="FFFFFF"/>
              <w:left w:val="single" w:sz="8" w:space="0" w:color="FFFFFF"/>
              <w:bottom w:val="single" w:sz="8" w:space="0" w:color="FFFFFF"/>
              <w:right w:val="single" w:sz="8" w:space="0" w:color="FFFFFF"/>
            </w:tcBorders>
            <w:shd w:val="clear" w:color="auto" w:fill="00B0F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B</w:t>
            </w:r>
          </w:p>
        </w:tc>
        <w:tc>
          <w:tcPr>
            <w:tcW w:w="709"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c>
          <w:tcPr>
            <w:tcW w:w="567" w:type="dxa"/>
            <w:tcBorders>
              <w:top w:val="single" w:sz="8" w:space="0" w:color="FFFFFF"/>
              <w:left w:val="single" w:sz="8" w:space="0" w:color="FFFFFF"/>
              <w:bottom w:val="single" w:sz="8" w:space="0" w:color="FFFFFF"/>
              <w:right w:val="single" w:sz="8" w:space="0" w:color="FFFFFF"/>
            </w:tcBorders>
            <w:shd w:val="clear" w:color="auto" w:fill="00B0F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B</w:t>
            </w:r>
          </w:p>
        </w:tc>
        <w:tc>
          <w:tcPr>
            <w:tcW w:w="567"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c>
          <w:tcPr>
            <w:tcW w:w="709" w:type="dxa"/>
            <w:tcBorders>
              <w:top w:val="single" w:sz="8" w:space="0" w:color="FFFFFF"/>
              <w:left w:val="single" w:sz="8" w:space="0" w:color="FFFFFF"/>
              <w:bottom w:val="single" w:sz="8" w:space="0" w:color="FFFFFF"/>
              <w:right w:val="single" w:sz="8" w:space="0" w:color="FFFFFF"/>
            </w:tcBorders>
            <w:shd w:val="clear" w:color="auto" w:fill="00B0F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B</w:t>
            </w:r>
          </w:p>
        </w:tc>
        <w:tc>
          <w:tcPr>
            <w:tcW w:w="567" w:type="dxa"/>
            <w:tcBorders>
              <w:top w:val="single" w:sz="8" w:space="0" w:color="FFFFFF"/>
              <w:left w:val="single" w:sz="8" w:space="0" w:color="FFFFFF"/>
              <w:bottom w:val="single" w:sz="8" w:space="0" w:color="FFFFFF"/>
              <w:right w:val="single" w:sz="8" w:space="0" w:color="FFFFFF"/>
            </w:tcBorders>
            <w:shd w:val="clear" w:color="auto" w:fill="00B050"/>
            <w:tcMar>
              <w:top w:w="14" w:type="dxa"/>
              <w:left w:w="14" w:type="dxa"/>
              <w:bottom w:w="0" w:type="dxa"/>
              <w:right w:w="14" w:type="dxa"/>
            </w:tcMar>
            <w:vAlign w:val="bottom"/>
            <w:hideMark/>
          </w:tcPr>
          <w:p w:rsidR="004262B7" w:rsidRPr="00A1149C" w:rsidRDefault="004262B7" w:rsidP="004262B7">
            <w:pPr>
              <w:spacing w:after="0" w:line="281" w:lineRule="atLeast"/>
              <w:jc w:val="center"/>
              <w:textAlignment w:val="bottom"/>
              <w:rPr>
                <w:rFonts w:cs="Arial"/>
                <w:color w:val="auto"/>
              </w:rPr>
            </w:pPr>
            <w:r w:rsidRPr="00A1149C">
              <w:rPr>
                <w:rFonts w:cs="Arial"/>
                <w:kern w:val="24"/>
              </w:rPr>
              <w:t>G</w:t>
            </w:r>
          </w:p>
        </w:tc>
      </w:tr>
    </w:tbl>
    <w:p w:rsidR="00DD4389" w:rsidRPr="00A1149C" w:rsidRDefault="008E2E4A" w:rsidP="006C6097">
      <w:pPr>
        <w:shd w:val="clear" w:color="auto" w:fill="FFFFFF"/>
        <w:spacing w:after="0" w:line="330" w:lineRule="atLeast"/>
        <w:rPr>
          <w:rFonts w:cs="Arial"/>
          <w:lang w:eastAsia="en-US"/>
        </w:rPr>
      </w:pPr>
      <w:r w:rsidRPr="00A1149C">
        <w:rPr>
          <w:rFonts w:cs="Arial"/>
          <w:b/>
          <w:bCs/>
        </w:rPr>
        <w:t>B</w:t>
      </w:r>
      <w:r w:rsidR="00DD4389" w:rsidRPr="00A1149C">
        <w:rPr>
          <w:rFonts w:cs="Arial"/>
          <w:b/>
          <w:bCs/>
        </w:rPr>
        <w:t xml:space="preserve">lue – </w:t>
      </w:r>
      <w:r w:rsidR="00DD4389" w:rsidRPr="00A1149C">
        <w:rPr>
          <w:rFonts w:cs="Arial"/>
        </w:rPr>
        <w:t>the standard/compliance point is fully met and can be evidenced as completed</w:t>
      </w:r>
    </w:p>
    <w:p w:rsidR="00DD4389" w:rsidRPr="00A1149C" w:rsidRDefault="00DD4389" w:rsidP="006C6097">
      <w:pPr>
        <w:spacing w:after="0"/>
        <w:jc w:val="both"/>
        <w:rPr>
          <w:rFonts w:cs="Arial"/>
          <w:b/>
          <w:bCs/>
        </w:rPr>
      </w:pPr>
      <w:r w:rsidRPr="00A1149C">
        <w:rPr>
          <w:rFonts w:cs="Arial"/>
          <w:b/>
          <w:bCs/>
        </w:rPr>
        <w:t xml:space="preserve">Green – </w:t>
      </w:r>
      <w:r w:rsidRPr="00A1149C">
        <w:rPr>
          <w:rFonts w:cs="Arial"/>
        </w:rPr>
        <w:t>the standard/compliance point is near completion or fully met but cannot be evidenced at this point.</w:t>
      </w:r>
      <w:r w:rsidRPr="00A1149C">
        <w:rPr>
          <w:rFonts w:cs="Arial"/>
          <w:b/>
          <w:bCs/>
        </w:rPr>
        <w:t xml:space="preserve"> </w:t>
      </w:r>
    </w:p>
    <w:p w:rsidR="00DD4389" w:rsidRPr="00A1149C" w:rsidRDefault="00DD4389" w:rsidP="006C6097">
      <w:pPr>
        <w:spacing w:after="0"/>
        <w:jc w:val="both"/>
        <w:rPr>
          <w:rFonts w:cs="Arial"/>
        </w:rPr>
      </w:pPr>
      <w:r w:rsidRPr="00A1149C">
        <w:rPr>
          <w:rFonts w:cs="Arial"/>
          <w:b/>
          <w:bCs/>
        </w:rPr>
        <w:t xml:space="preserve">Amber – </w:t>
      </w:r>
      <w:r w:rsidRPr="00A1149C">
        <w:rPr>
          <w:rFonts w:cs="Arial"/>
        </w:rPr>
        <w:t xml:space="preserve">the standard/compliance point is not met but work has begun or work is underway but has experienced delays in completion. </w:t>
      </w:r>
    </w:p>
    <w:p w:rsidR="00DD4389" w:rsidRPr="00A1149C" w:rsidRDefault="00DD4389" w:rsidP="006C6097">
      <w:pPr>
        <w:spacing w:after="0"/>
        <w:jc w:val="both"/>
        <w:rPr>
          <w:rFonts w:cs="Arial"/>
        </w:rPr>
      </w:pPr>
      <w:r w:rsidRPr="00A1149C">
        <w:rPr>
          <w:rFonts w:cs="Arial"/>
          <w:b/>
          <w:bCs/>
        </w:rPr>
        <w:t xml:space="preserve">Red – </w:t>
      </w:r>
      <w:r w:rsidRPr="00A1149C">
        <w:rPr>
          <w:rFonts w:cs="Arial"/>
        </w:rPr>
        <w:t>the standard/compliance point is not met, work is not underway and there are issues with commencing work.</w:t>
      </w:r>
    </w:p>
    <w:p w:rsidR="006C6097" w:rsidRPr="00A1149C" w:rsidRDefault="006C6097" w:rsidP="006C6097">
      <w:pPr>
        <w:shd w:val="clear" w:color="auto" w:fill="FFFFFF"/>
        <w:spacing w:before="180" w:after="180" w:line="330" w:lineRule="atLeast"/>
        <w:ind w:left="426" w:hanging="426"/>
        <w:rPr>
          <w:rFonts w:cs="Arial"/>
          <w:color w:val="auto"/>
        </w:rPr>
      </w:pPr>
      <w:r w:rsidRPr="00A1149C">
        <w:rPr>
          <w:rFonts w:cs="Arial"/>
          <w:color w:val="auto"/>
        </w:rPr>
        <w:t>The full Section 11 Assessment is available in the link below</w:t>
      </w:r>
    </w:p>
    <w:p w:rsidR="008237A8" w:rsidRPr="00A1149C" w:rsidRDefault="00354373" w:rsidP="008237A8">
      <w:pPr>
        <w:rPr>
          <w:rFonts w:cs="Arial"/>
        </w:rPr>
      </w:pPr>
      <w:hyperlink r:id="rId9" w:history="1">
        <w:r w:rsidR="008237A8" w:rsidRPr="00A1149C">
          <w:rPr>
            <w:rStyle w:val="Hyperlink"/>
            <w:rFonts w:cs="Arial"/>
          </w:rPr>
          <w:t>www.oxford.gov.uk/safeguardingselfassessment</w:t>
        </w:r>
      </w:hyperlink>
      <w:r w:rsidR="008237A8" w:rsidRPr="00A1149C">
        <w:rPr>
          <w:rFonts w:cs="Arial"/>
        </w:rPr>
        <w:t xml:space="preserve"> </w:t>
      </w:r>
    </w:p>
    <w:p w:rsidR="00BE7D28" w:rsidRPr="00A1149C" w:rsidRDefault="00BE7D28" w:rsidP="00354373">
      <w:pPr>
        <w:pStyle w:val="Heading1"/>
      </w:pPr>
      <w:r w:rsidRPr="00A1149C">
        <w:t>Key achievements to note 2016/17</w:t>
      </w:r>
    </w:p>
    <w:p w:rsidR="00DF45C2" w:rsidRPr="00A1149C" w:rsidRDefault="00DF45C2" w:rsidP="00354373">
      <w:pPr>
        <w:pStyle w:val="bParagraphtext"/>
      </w:pPr>
      <w:r w:rsidRPr="00A1149C">
        <w:t>The Action Plan 2016/17 included recommendations from:</w:t>
      </w:r>
    </w:p>
    <w:p w:rsidR="000C26E4" w:rsidRPr="00A1149C" w:rsidRDefault="000C26E4" w:rsidP="000C26E4">
      <w:pPr>
        <w:spacing w:after="0"/>
        <w:rPr>
          <w:rFonts w:cs="Arial"/>
        </w:rPr>
      </w:pPr>
    </w:p>
    <w:p w:rsidR="00DF45C2" w:rsidRPr="00A1149C" w:rsidRDefault="00DF45C2" w:rsidP="000C26E4">
      <w:pPr>
        <w:pStyle w:val="ListParagraph"/>
        <w:numPr>
          <w:ilvl w:val="0"/>
          <w:numId w:val="14"/>
        </w:numPr>
        <w:spacing w:after="0"/>
        <w:ind w:hanging="357"/>
        <w:rPr>
          <w:rFonts w:cs="Arial"/>
        </w:rPr>
      </w:pPr>
      <w:r w:rsidRPr="00A1149C">
        <w:rPr>
          <w:rFonts w:cs="Arial"/>
        </w:rPr>
        <w:t>The Section 11 Self-Assessment</w:t>
      </w:r>
    </w:p>
    <w:p w:rsidR="00DF45C2" w:rsidRPr="00A1149C" w:rsidRDefault="00DF45C2" w:rsidP="000C26E4">
      <w:pPr>
        <w:pStyle w:val="ListParagraph"/>
        <w:numPr>
          <w:ilvl w:val="0"/>
          <w:numId w:val="14"/>
        </w:numPr>
        <w:spacing w:after="0"/>
        <w:ind w:hanging="357"/>
        <w:rPr>
          <w:rFonts w:cs="Arial"/>
        </w:rPr>
      </w:pPr>
      <w:r w:rsidRPr="00A1149C">
        <w:rPr>
          <w:rFonts w:cs="Arial"/>
        </w:rPr>
        <w:t>Oxfordshire Safeguarding Children’s Board Serious Case Review</w:t>
      </w:r>
    </w:p>
    <w:p w:rsidR="00DF45C2" w:rsidRPr="00A1149C" w:rsidRDefault="00DF45C2" w:rsidP="000C26E4">
      <w:pPr>
        <w:pStyle w:val="ListParagraph"/>
        <w:numPr>
          <w:ilvl w:val="0"/>
          <w:numId w:val="14"/>
        </w:numPr>
        <w:spacing w:after="0"/>
        <w:ind w:hanging="357"/>
        <w:rPr>
          <w:rFonts w:cs="Arial"/>
        </w:rPr>
      </w:pPr>
      <w:r w:rsidRPr="00A1149C">
        <w:rPr>
          <w:rFonts w:cs="Arial"/>
        </w:rPr>
        <w:t>Oxford City Council</w:t>
      </w:r>
      <w:r w:rsidR="000F2958">
        <w:rPr>
          <w:rFonts w:cs="Arial"/>
        </w:rPr>
        <w:t xml:space="preserve">’s </w:t>
      </w:r>
      <w:r w:rsidRPr="00A1149C">
        <w:rPr>
          <w:rFonts w:cs="Arial"/>
        </w:rPr>
        <w:t>Scrutiny Committee</w:t>
      </w:r>
    </w:p>
    <w:p w:rsidR="006C6097" w:rsidRPr="00A1149C" w:rsidRDefault="006C6097" w:rsidP="006C6097">
      <w:pPr>
        <w:pStyle w:val="ListParagraph"/>
        <w:numPr>
          <w:ilvl w:val="0"/>
          <w:numId w:val="0"/>
        </w:numPr>
        <w:spacing w:after="0"/>
        <w:ind w:left="780"/>
        <w:rPr>
          <w:rFonts w:cs="Arial"/>
        </w:rPr>
      </w:pPr>
    </w:p>
    <w:p w:rsidR="000C26E4" w:rsidRPr="00354373" w:rsidRDefault="006C6097" w:rsidP="00354373">
      <w:pPr>
        <w:pStyle w:val="bParagraphtext"/>
      </w:pPr>
      <w:r w:rsidRPr="00A1149C">
        <w:t xml:space="preserve">All of the </w:t>
      </w:r>
      <w:r w:rsidR="006F1306" w:rsidRPr="00A1149C">
        <w:t xml:space="preserve">actions identified within Oxford City </w:t>
      </w:r>
      <w:r w:rsidR="00EE063B" w:rsidRPr="00A1149C">
        <w:t>Council</w:t>
      </w:r>
      <w:r w:rsidR="000F2958">
        <w:t>’</w:t>
      </w:r>
      <w:r w:rsidR="00EE063B" w:rsidRPr="00A1149C">
        <w:t>s Safeguarding</w:t>
      </w:r>
      <w:r w:rsidR="008E2E4A" w:rsidRPr="00A1149C">
        <w:t xml:space="preserve"> Action P</w:t>
      </w:r>
      <w:r w:rsidR="00DF45C2" w:rsidRPr="00A1149C">
        <w:t>lan 2016/17 have been completed or are in progress</w:t>
      </w:r>
      <w:r w:rsidRPr="00A1149C">
        <w:t>. Details are provided below.</w:t>
      </w:r>
    </w:p>
    <w:p w:rsidR="000C26E4" w:rsidRPr="00354373" w:rsidRDefault="007C7230" w:rsidP="00354373">
      <w:pPr>
        <w:pStyle w:val="Heading1"/>
      </w:pPr>
      <w:r w:rsidRPr="00A1149C">
        <w:t xml:space="preserve"> </w:t>
      </w:r>
      <w:r w:rsidR="00BE7D28" w:rsidRPr="00A1149C">
        <w:t>Working in Partnership</w:t>
      </w:r>
    </w:p>
    <w:p w:rsidR="006C6097" w:rsidRPr="00A1149C" w:rsidRDefault="002E11D4" w:rsidP="00354373">
      <w:pPr>
        <w:pStyle w:val="bParagraphtext"/>
      </w:pPr>
      <w:r w:rsidRPr="00A1149C">
        <w:t xml:space="preserve">The council’s </w:t>
      </w:r>
      <w:r w:rsidR="00ED6D02" w:rsidRPr="00A1149C">
        <w:t xml:space="preserve">external </w:t>
      </w:r>
      <w:r w:rsidR="008A7B0D" w:rsidRPr="00A1149C">
        <w:t>p</w:t>
      </w:r>
      <w:r w:rsidR="00EE063B" w:rsidRPr="00A1149C">
        <w:t>artnership</w:t>
      </w:r>
      <w:r w:rsidR="00ED6D02" w:rsidRPr="00A1149C">
        <w:t xml:space="preserve"> working </w:t>
      </w:r>
      <w:r w:rsidR="008E2E4A" w:rsidRPr="00A1149C">
        <w:t>c</w:t>
      </w:r>
      <w:r w:rsidR="00EE063B" w:rsidRPr="00A1149C">
        <w:t>ontinues</w:t>
      </w:r>
      <w:r w:rsidR="00ED6D02" w:rsidRPr="00A1149C">
        <w:t xml:space="preserve"> to strengthen through regular </w:t>
      </w:r>
      <w:r w:rsidR="001D6BF8" w:rsidRPr="00A1149C">
        <w:t xml:space="preserve">attendance </w:t>
      </w:r>
      <w:r w:rsidRPr="00A1149C">
        <w:t>at</w:t>
      </w:r>
      <w:r w:rsidR="008E2E4A" w:rsidRPr="00A1149C">
        <w:t xml:space="preserve"> s</w:t>
      </w:r>
      <w:r w:rsidR="00ED6D02" w:rsidRPr="00A1149C">
        <w:t>tr</w:t>
      </w:r>
      <w:r w:rsidR="00BE7D28" w:rsidRPr="00A1149C">
        <w:t xml:space="preserve">ategic and operational Boards and </w:t>
      </w:r>
      <w:r w:rsidR="008E2E4A" w:rsidRPr="00A1149C">
        <w:t>Working Groups</w:t>
      </w:r>
      <w:r w:rsidR="00BE7D28" w:rsidRPr="00A1149C">
        <w:t xml:space="preserve">. </w:t>
      </w:r>
      <w:r w:rsidR="00DF45C2" w:rsidRPr="00A1149C">
        <w:t xml:space="preserve">These include OSCB and OSAB Working Groups which drive forward the Boards key areas of work on Performance Management, Policy Development and Training. </w:t>
      </w:r>
      <w:r w:rsidR="006C6097" w:rsidRPr="00A1149C">
        <w:t xml:space="preserve">(See </w:t>
      </w:r>
      <w:r w:rsidR="000265F9">
        <w:t xml:space="preserve">Appendix </w:t>
      </w:r>
      <w:r w:rsidR="006C6097" w:rsidRPr="00A1149C">
        <w:t>2).</w:t>
      </w:r>
    </w:p>
    <w:p w:rsidR="00DF45C2" w:rsidRPr="00A1149C" w:rsidRDefault="002E11D4" w:rsidP="00354373">
      <w:pPr>
        <w:pStyle w:val="bParagraphtext"/>
      </w:pPr>
      <w:r w:rsidRPr="00A1149C">
        <w:t>The Council’s</w:t>
      </w:r>
      <w:r w:rsidR="00ED6D02" w:rsidRPr="00A1149C">
        <w:t xml:space="preserve"> </w:t>
      </w:r>
      <w:r w:rsidR="008A7B0D" w:rsidRPr="00A1149C">
        <w:t xml:space="preserve">Policy and Partnership Manager </w:t>
      </w:r>
      <w:r w:rsidR="00ED6D02" w:rsidRPr="00A1149C">
        <w:t xml:space="preserve">has </w:t>
      </w:r>
      <w:r w:rsidR="00DF45C2" w:rsidRPr="00A1149C">
        <w:t xml:space="preserve">also </w:t>
      </w:r>
      <w:r w:rsidR="00ED6D02" w:rsidRPr="00A1149C">
        <w:t>actively participated in a</w:t>
      </w:r>
      <w:r w:rsidR="008A7B0D" w:rsidRPr="00A1149C">
        <w:t xml:space="preserve"> </w:t>
      </w:r>
      <w:r w:rsidR="00ED6D02" w:rsidRPr="00A1149C">
        <w:t>n</w:t>
      </w:r>
      <w:r w:rsidR="008A7B0D" w:rsidRPr="00A1149C">
        <w:t>umber of</w:t>
      </w:r>
      <w:r w:rsidR="00ED6D02" w:rsidRPr="00A1149C">
        <w:t xml:space="preserve"> </w:t>
      </w:r>
      <w:r w:rsidR="00BE7D28" w:rsidRPr="00A1149C">
        <w:t>operational</w:t>
      </w:r>
      <w:r w:rsidR="00ED6D02" w:rsidRPr="00A1149C">
        <w:t xml:space="preserve"> steering </w:t>
      </w:r>
      <w:r w:rsidR="008A7B0D" w:rsidRPr="00A1149C">
        <w:t>groups</w:t>
      </w:r>
      <w:r w:rsidR="00ED6D02" w:rsidRPr="00A1149C">
        <w:t xml:space="preserve"> on behalf </w:t>
      </w:r>
      <w:r w:rsidR="00EE063B" w:rsidRPr="00A1149C">
        <w:t>of</w:t>
      </w:r>
      <w:r w:rsidR="00ED6D02" w:rsidRPr="00A1149C">
        <w:t xml:space="preserve"> the </w:t>
      </w:r>
      <w:r w:rsidR="00EE063B" w:rsidRPr="00A1149C">
        <w:t>districts</w:t>
      </w:r>
      <w:r w:rsidR="008A7B0D" w:rsidRPr="00A1149C">
        <w:t xml:space="preserve">, including the </w:t>
      </w:r>
      <w:r w:rsidR="008A7B0D" w:rsidRPr="00A1149C">
        <w:lastRenderedPageBreak/>
        <w:t>M</w:t>
      </w:r>
      <w:r w:rsidRPr="00A1149C">
        <w:t>ulti-Agency Safeguarding Hub (MASH)</w:t>
      </w:r>
      <w:r w:rsidR="008A7B0D" w:rsidRPr="00A1149C">
        <w:t xml:space="preserve"> and helped </w:t>
      </w:r>
      <w:r w:rsidR="00ED6D02" w:rsidRPr="00A1149C">
        <w:t>shape the new model for MASH</w:t>
      </w:r>
      <w:r w:rsidR="008A7B0D" w:rsidRPr="00A1149C">
        <w:t xml:space="preserve">. </w:t>
      </w:r>
    </w:p>
    <w:p w:rsidR="006C6097" w:rsidRPr="00A1149C" w:rsidRDefault="006C6097" w:rsidP="006C6097">
      <w:pPr>
        <w:pStyle w:val="ListParagraph"/>
        <w:numPr>
          <w:ilvl w:val="0"/>
          <w:numId w:val="0"/>
        </w:numPr>
        <w:spacing w:after="0"/>
        <w:ind w:left="644"/>
        <w:rPr>
          <w:rFonts w:cs="Arial"/>
        </w:rPr>
      </w:pPr>
    </w:p>
    <w:p w:rsidR="000C6FDF" w:rsidRPr="00A1149C" w:rsidRDefault="00DF45C2" w:rsidP="00354373">
      <w:pPr>
        <w:pStyle w:val="bParagraphtext"/>
      </w:pPr>
      <w:r w:rsidRPr="00A1149C">
        <w:t>Active partic</w:t>
      </w:r>
      <w:r w:rsidR="002E11D4" w:rsidRPr="00A1149C">
        <w:t>ipation in these groups provides the Council w</w:t>
      </w:r>
      <w:r w:rsidRPr="00A1149C">
        <w:t xml:space="preserve">ith an </w:t>
      </w:r>
      <w:r w:rsidR="00ED6D02" w:rsidRPr="00A1149C">
        <w:t xml:space="preserve">opportunity to ensure that </w:t>
      </w:r>
      <w:r w:rsidR="002E11D4" w:rsidRPr="00A1149C">
        <w:t>it</w:t>
      </w:r>
      <w:r w:rsidRPr="00A1149C">
        <w:t xml:space="preserve"> know</w:t>
      </w:r>
      <w:r w:rsidR="002E11D4" w:rsidRPr="00A1149C">
        <w:t>s</w:t>
      </w:r>
      <w:r w:rsidRPr="00A1149C">
        <w:t xml:space="preserve"> what changes are taking place, that </w:t>
      </w:r>
      <w:r w:rsidR="002E11D4" w:rsidRPr="00A1149C">
        <w:t>it is</w:t>
      </w:r>
      <w:r w:rsidR="00F6549D" w:rsidRPr="00A1149C">
        <w:t xml:space="preserve"> clear about the impact of the </w:t>
      </w:r>
      <w:r w:rsidR="00EE063B" w:rsidRPr="00A1149C">
        <w:t>changes</w:t>
      </w:r>
      <w:r w:rsidR="002E11D4" w:rsidRPr="00A1149C">
        <w:t xml:space="preserve"> on its s</w:t>
      </w:r>
      <w:r w:rsidR="00F6549D" w:rsidRPr="00A1149C">
        <w:t xml:space="preserve">ervice areas and </w:t>
      </w:r>
      <w:r w:rsidRPr="00A1149C">
        <w:t xml:space="preserve">that </w:t>
      </w:r>
      <w:r w:rsidR="002E11D4" w:rsidRPr="00A1149C">
        <w:t xml:space="preserve">it is </w:t>
      </w:r>
      <w:r w:rsidRPr="00A1149C">
        <w:t xml:space="preserve">able </w:t>
      </w:r>
      <w:r w:rsidR="008A7B0D" w:rsidRPr="00A1149C">
        <w:t xml:space="preserve">to </w:t>
      </w:r>
      <w:r w:rsidRPr="00A1149C">
        <w:t>influence the development of servi</w:t>
      </w:r>
      <w:r w:rsidR="006C6097" w:rsidRPr="00A1149C">
        <w:t>ces in the city.</w:t>
      </w:r>
    </w:p>
    <w:p w:rsidR="000C26E4" w:rsidRPr="00A1149C" w:rsidRDefault="000C26E4" w:rsidP="000C26E4">
      <w:pPr>
        <w:spacing w:after="0"/>
        <w:rPr>
          <w:rFonts w:cs="Arial"/>
        </w:rPr>
      </w:pPr>
    </w:p>
    <w:p w:rsidR="00DD4389" w:rsidRPr="00A1149C" w:rsidRDefault="00EE063B" w:rsidP="000C26E4">
      <w:pPr>
        <w:spacing w:after="0"/>
        <w:rPr>
          <w:rFonts w:cs="Arial"/>
          <w:b/>
        </w:rPr>
      </w:pPr>
      <w:r w:rsidRPr="00A1149C">
        <w:rPr>
          <w:rFonts w:cs="Arial"/>
          <w:b/>
        </w:rPr>
        <w:t>Safeguarding Training</w:t>
      </w:r>
      <w:r w:rsidR="000C6FDF" w:rsidRPr="00A1149C">
        <w:rPr>
          <w:rFonts w:cs="Arial"/>
          <w:b/>
        </w:rPr>
        <w:t xml:space="preserve"> Programme</w:t>
      </w:r>
    </w:p>
    <w:p w:rsidR="000C26E4" w:rsidRPr="00A1149C" w:rsidRDefault="000C26E4" w:rsidP="000C26E4">
      <w:pPr>
        <w:spacing w:after="0"/>
        <w:rPr>
          <w:rFonts w:cs="Arial"/>
          <w:b/>
        </w:rPr>
      </w:pPr>
    </w:p>
    <w:p w:rsidR="006C6097" w:rsidRPr="00A1149C" w:rsidRDefault="00DF45C2" w:rsidP="00354373">
      <w:pPr>
        <w:pStyle w:val="bParagraphtext"/>
      </w:pPr>
      <w:r w:rsidRPr="00A1149C">
        <w:t xml:space="preserve">Oxford City Council has a comprehensive safeguarding training package. </w:t>
      </w:r>
      <w:r w:rsidR="00DD4389" w:rsidRPr="00A1149C">
        <w:t xml:space="preserve">Total number of staff that </w:t>
      </w:r>
      <w:proofErr w:type="gramStart"/>
      <w:r w:rsidR="00DD4389" w:rsidRPr="00A1149C">
        <w:t>ha</w:t>
      </w:r>
      <w:r w:rsidRPr="00A1149C">
        <w:t>ve</w:t>
      </w:r>
      <w:proofErr w:type="gramEnd"/>
      <w:r w:rsidR="00DD4389" w:rsidRPr="00A1149C">
        <w:t xml:space="preserve"> received </w:t>
      </w:r>
      <w:r w:rsidR="008A7B0D" w:rsidRPr="00A1149C">
        <w:t xml:space="preserve">safeguarding </w:t>
      </w:r>
      <w:r w:rsidR="00DD4389" w:rsidRPr="00A1149C">
        <w:t>training between 01/04/16-31/03/17 is 624.</w:t>
      </w:r>
    </w:p>
    <w:p w:rsidR="008237A8" w:rsidRPr="00A1149C" w:rsidRDefault="00DF45C2" w:rsidP="00354373">
      <w:pPr>
        <w:pStyle w:val="bParagraphtext"/>
      </w:pPr>
      <w:r w:rsidRPr="00A1149C">
        <w:t xml:space="preserve">Participation in the appropriate level of safeguarding training is compulsory and this is tracked and monitored through </w:t>
      </w:r>
      <w:r w:rsidR="00313975" w:rsidRPr="00A1149C">
        <w:t xml:space="preserve">Itrent (the </w:t>
      </w:r>
      <w:r w:rsidRPr="00A1149C">
        <w:t>Council’s H</w:t>
      </w:r>
      <w:r w:rsidR="00313975" w:rsidRPr="00A1149C">
        <w:t xml:space="preserve">uman Resources </w:t>
      </w:r>
      <w:r w:rsidRPr="00A1149C">
        <w:t>ICT System</w:t>
      </w:r>
      <w:r w:rsidR="00313975" w:rsidRPr="00A1149C">
        <w:t>).</w:t>
      </w:r>
      <w:r w:rsidRPr="00A1149C">
        <w:t xml:space="preserve"> </w:t>
      </w:r>
    </w:p>
    <w:p w:rsidR="006C6097" w:rsidRPr="00A1149C" w:rsidRDefault="00313975" w:rsidP="00354373">
      <w:pPr>
        <w:pStyle w:val="bParagraphtext"/>
      </w:pPr>
      <w:r w:rsidRPr="00A1149C">
        <w:t xml:space="preserve">A safeguarding training package has been developed and delivered for </w:t>
      </w:r>
      <w:r w:rsidR="003B7A52" w:rsidRPr="00A1149C">
        <w:t xml:space="preserve">elected </w:t>
      </w:r>
      <w:r w:rsidRPr="00A1149C">
        <w:t>members through the year. All current members have attended one of these sessions.</w:t>
      </w:r>
    </w:p>
    <w:p w:rsidR="00DD4389" w:rsidRPr="00A1149C" w:rsidRDefault="00DD4389" w:rsidP="00354373">
      <w:pPr>
        <w:pStyle w:val="bParagraphtext"/>
      </w:pPr>
      <w:r w:rsidRPr="00A1149C">
        <w:t xml:space="preserve">Oxford City Council will be </w:t>
      </w:r>
      <w:r w:rsidR="003B7A52" w:rsidRPr="00A1149C">
        <w:t>recognised</w:t>
      </w:r>
      <w:r w:rsidRPr="00A1149C">
        <w:t xml:space="preserve"> within the OSAB annual report for its good practice in responding to </w:t>
      </w:r>
      <w:r w:rsidR="00313975" w:rsidRPr="00A1149C">
        <w:t xml:space="preserve">the identified safeguarding </w:t>
      </w:r>
      <w:r w:rsidRPr="00A1149C">
        <w:t>training need</w:t>
      </w:r>
      <w:r w:rsidR="008A7B0D" w:rsidRPr="00A1149C">
        <w:t>s</w:t>
      </w:r>
      <w:r w:rsidRPr="00A1149C">
        <w:t xml:space="preserve"> and actively sourcing and delivering </w:t>
      </w:r>
      <w:r w:rsidR="00313975" w:rsidRPr="00A1149C">
        <w:t>it.</w:t>
      </w:r>
    </w:p>
    <w:p w:rsidR="000C26E4" w:rsidRPr="00A1149C" w:rsidRDefault="000C26E4" w:rsidP="000C26E4">
      <w:pPr>
        <w:spacing w:after="0"/>
        <w:rPr>
          <w:rFonts w:cs="Arial"/>
        </w:rPr>
      </w:pPr>
    </w:p>
    <w:p w:rsidR="00DD4389" w:rsidRPr="00A1149C" w:rsidRDefault="00DD4389" w:rsidP="000C26E4">
      <w:pPr>
        <w:spacing w:after="0"/>
        <w:ind w:left="284"/>
        <w:rPr>
          <w:rFonts w:cs="Arial"/>
          <w:b/>
        </w:rPr>
      </w:pPr>
      <w:r w:rsidRPr="00A1149C">
        <w:rPr>
          <w:rFonts w:cs="Arial"/>
          <w:b/>
        </w:rPr>
        <w:t>Licensing standards</w:t>
      </w:r>
    </w:p>
    <w:p w:rsidR="006C6097" w:rsidRPr="00A1149C" w:rsidRDefault="006C6097" w:rsidP="000C26E4">
      <w:pPr>
        <w:spacing w:after="0"/>
        <w:ind w:left="284"/>
        <w:rPr>
          <w:rFonts w:cs="Arial"/>
          <w:b/>
        </w:rPr>
      </w:pPr>
    </w:p>
    <w:p w:rsidR="00DD4389" w:rsidRPr="00A1149C" w:rsidRDefault="00313975" w:rsidP="00354373">
      <w:pPr>
        <w:pStyle w:val="bParagraphtext"/>
      </w:pPr>
      <w:r w:rsidRPr="00A1149C">
        <w:t xml:space="preserve">Oxford City Council </w:t>
      </w:r>
      <w:r w:rsidR="008A7B0D" w:rsidRPr="00A1149C">
        <w:t xml:space="preserve">has led </w:t>
      </w:r>
      <w:r w:rsidRPr="00A1149C">
        <w:t>the development of t</w:t>
      </w:r>
      <w:r w:rsidR="008A7B0D" w:rsidRPr="00A1149C">
        <w:t>he J</w:t>
      </w:r>
      <w:r w:rsidR="00DD4389" w:rsidRPr="00A1149C">
        <w:t xml:space="preserve">oint </w:t>
      </w:r>
      <w:r w:rsidR="008A7B0D" w:rsidRPr="00A1149C">
        <w:t>O</w:t>
      </w:r>
      <w:r w:rsidR="00DD4389" w:rsidRPr="00A1149C">
        <w:t xml:space="preserve">perating </w:t>
      </w:r>
      <w:r w:rsidR="008A7B0D" w:rsidRPr="00A1149C">
        <w:t>F</w:t>
      </w:r>
      <w:r w:rsidR="00DD4389" w:rsidRPr="00A1149C">
        <w:t xml:space="preserve">ramework </w:t>
      </w:r>
      <w:r w:rsidRPr="00A1149C">
        <w:t>for Taxi Licencing. Th</w:t>
      </w:r>
      <w:r w:rsidR="003B7A52" w:rsidRPr="00A1149C">
        <w:t xml:space="preserve">e </w:t>
      </w:r>
      <w:r w:rsidRPr="00A1149C">
        <w:t>aim</w:t>
      </w:r>
      <w:r w:rsidR="003B7A52" w:rsidRPr="00A1149C">
        <w:t xml:space="preserve"> is to have </w:t>
      </w:r>
      <w:r w:rsidRPr="00A1149C">
        <w:t>standard requirements for safeguarding</w:t>
      </w:r>
      <w:r w:rsidR="003B7A52" w:rsidRPr="00A1149C">
        <w:t xml:space="preserve"> measures for all</w:t>
      </w:r>
      <w:r w:rsidRPr="00A1149C">
        <w:t xml:space="preserve"> taxi services </w:t>
      </w:r>
      <w:r w:rsidR="006C6097" w:rsidRPr="00A1149C">
        <w:t>across the Oxfordshire local authorities. It</w:t>
      </w:r>
      <w:r w:rsidRPr="00A1149C">
        <w:t xml:space="preserve"> includes an agreed level of checks, standard training packages and improved information sharing across agencies. This </w:t>
      </w:r>
      <w:r w:rsidR="00DD4389" w:rsidRPr="00A1149C">
        <w:t>is now well developed and monitored by OSCB.</w:t>
      </w:r>
    </w:p>
    <w:p w:rsidR="000C26E4" w:rsidRPr="00A1149C" w:rsidRDefault="000C26E4" w:rsidP="000C26E4">
      <w:pPr>
        <w:spacing w:after="0"/>
        <w:rPr>
          <w:rFonts w:cs="Arial"/>
        </w:rPr>
      </w:pPr>
    </w:p>
    <w:p w:rsidR="00DD4389" w:rsidRPr="00A1149C" w:rsidRDefault="00DD4389" w:rsidP="000C26E4">
      <w:pPr>
        <w:spacing w:after="0"/>
        <w:ind w:firstLine="284"/>
        <w:rPr>
          <w:rFonts w:cs="Arial"/>
          <w:b/>
        </w:rPr>
      </w:pPr>
      <w:r w:rsidRPr="00A1149C">
        <w:rPr>
          <w:rFonts w:cs="Arial"/>
          <w:b/>
        </w:rPr>
        <w:t>La</w:t>
      </w:r>
      <w:r w:rsidR="00313975" w:rsidRPr="00A1149C">
        <w:rPr>
          <w:rFonts w:cs="Arial"/>
          <w:b/>
        </w:rPr>
        <w:t>n</w:t>
      </w:r>
      <w:r w:rsidRPr="00A1149C">
        <w:rPr>
          <w:rFonts w:cs="Arial"/>
          <w:b/>
        </w:rPr>
        <w:t>guage schools</w:t>
      </w:r>
    </w:p>
    <w:p w:rsidR="006C6097" w:rsidRPr="00A1149C" w:rsidRDefault="006C6097" w:rsidP="000C26E4">
      <w:pPr>
        <w:spacing w:after="0"/>
        <w:ind w:firstLine="284"/>
        <w:rPr>
          <w:rFonts w:cs="Arial"/>
          <w:b/>
        </w:rPr>
      </w:pPr>
    </w:p>
    <w:p w:rsidR="00893EF3" w:rsidRPr="00A1149C" w:rsidRDefault="000939C9" w:rsidP="00354373">
      <w:pPr>
        <w:pStyle w:val="bParagraphtext"/>
      </w:pPr>
      <w:r w:rsidRPr="00A1149C">
        <w:t xml:space="preserve">Cllr </w:t>
      </w:r>
      <w:r w:rsidR="00DD4389" w:rsidRPr="00A1149C">
        <w:t xml:space="preserve">Dee </w:t>
      </w:r>
      <w:r w:rsidR="00EE063B" w:rsidRPr="00A1149C">
        <w:t>Sinclair</w:t>
      </w:r>
      <w:r w:rsidR="00DD4389" w:rsidRPr="00A1149C">
        <w:t xml:space="preserve"> and</w:t>
      </w:r>
      <w:r w:rsidR="005F7991" w:rsidRPr="00A1149C">
        <w:t xml:space="preserve"> the Community Safety Team have</w:t>
      </w:r>
      <w:r w:rsidR="00DD4389" w:rsidRPr="00A1149C">
        <w:t xml:space="preserve"> played a key part in the </w:t>
      </w:r>
      <w:r w:rsidR="003B7A52" w:rsidRPr="00A1149C">
        <w:t>L</w:t>
      </w:r>
      <w:r w:rsidR="00EE063B" w:rsidRPr="00A1149C">
        <w:t>anguage</w:t>
      </w:r>
      <w:r w:rsidR="00313975" w:rsidRPr="00A1149C">
        <w:t xml:space="preserve"> S</w:t>
      </w:r>
      <w:r w:rsidR="00DD4389" w:rsidRPr="00A1149C">
        <w:t xml:space="preserve">chool </w:t>
      </w:r>
      <w:r w:rsidR="00313975" w:rsidRPr="00A1149C">
        <w:t>F</w:t>
      </w:r>
      <w:r w:rsidR="00DD4389" w:rsidRPr="00A1149C">
        <w:t>orum this year, driving forward</w:t>
      </w:r>
      <w:r w:rsidR="00F6549D" w:rsidRPr="00A1149C">
        <w:t xml:space="preserve"> a set of actions to further </w:t>
      </w:r>
      <w:r w:rsidR="00EE063B" w:rsidRPr="00A1149C">
        <w:t>develop</w:t>
      </w:r>
      <w:r w:rsidR="00F6549D" w:rsidRPr="00A1149C">
        <w:t xml:space="preserve"> partnerships with language schools and encourage a consistent </w:t>
      </w:r>
      <w:r w:rsidR="00EE063B" w:rsidRPr="00A1149C">
        <w:t>safeguarding</w:t>
      </w:r>
      <w:r w:rsidR="00F6549D" w:rsidRPr="00A1149C">
        <w:t xml:space="preserve"> framework </w:t>
      </w:r>
      <w:r w:rsidR="006C6097" w:rsidRPr="00A1149C">
        <w:t xml:space="preserve">in language schools </w:t>
      </w:r>
      <w:r w:rsidR="00F6549D" w:rsidRPr="00A1149C">
        <w:t>across the city.</w:t>
      </w:r>
      <w:r w:rsidR="00313975" w:rsidRPr="00A1149C">
        <w:t xml:space="preserve"> A full report on this work was presented to Scrutiny Committee</w:t>
      </w:r>
      <w:r w:rsidR="00E4063F" w:rsidRPr="00A1149C">
        <w:t xml:space="preserve"> in December 2016.</w:t>
      </w:r>
      <w:r w:rsidR="00313975" w:rsidRPr="00A1149C">
        <w:t xml:space="preserve"> </w:t>
      </w:r>
    </w:p>
    <w:p w:rsidR="00696DEB" w:rsidRPr="00A1149C" w:rsidRDefault="00696DEB" w:rsidP="000C26E4">
      <w:pPr>
        <w:shd w:val="clear" w:color="auto" w:fill="FFFFFF"/>
        <w:spacing w:after="0"/>
        <w:ind w:firstLine="284"/>
        <w:rPr>
          <w:rFonts w:cs="Arial"/>
          <w:b/>
          <w:color w:val="auto"/>
        </w:rPr>
      </w:pPr>
    </w:p>
    <w:p w:rsidR="00893EF3" w:rsidRPr="00A1149C" w:rsidRDefault="00ED6D02" w:rsidP="000C26E4">
      <w:pPr>
        <w:shd w:val="clear" w:color="auto" w:fill="FFFFFF"/>
        <w:spacing w:after="0"/>
        <w:ind w:firstLine="284"/>
        <w:rPr>
          <w:rFonts w:cs="Arial"/>
          <w:b/>
          <w:color w:val="auto"/>
        </w:rPr>
      </w:pPr>
      <w:r w:rsidRPr="00A1149C">
        <w:rPr>
          <w:rFonts w:cs="Arial"/>
          <w:b/>
          <w:color w:val="auto"/>
        </w:rPr>
        <w:t>Hotel Watch</w:t>
      </w:r>
    </w:p>
    <w:p w:rsidR="006C6097" w:rsidRPr="00A1149C" w:rsidRDefault="006C6097" w:rsidP="000C26E4">
      <w:pPr>
        <w:shd w:val="clear" w:color="auto" w:fill="FFFFFF"/>
        <w:spacing w:after="0"/>
        <w:ind w:firstLine="284"/>
        <w:rPr>
          <w:rFonts w:cs="Arial"/>
          <w:b/>
          <w:color w:val="auto"/>
        </w:rPr>
      </w:pPr>
    </w:p>
    <w:p w:rsidR="00696DEB" w:rsidRPr="00A1149C" w:rsidRDefault="000939C9" w:rsidP="00354373">
      <w:pPr>
        <w:pStyle w:val="bParagraphtext"/>
      </w:pPr>
      <w:r w:rsidRPr="00A1149C">
        <w:t>Oxford City Hotel W</w:t>
      </w:r>
      <w:r w:rsidR="00ED6D02" w:rsidRPr="00A1149C">
        <w:t xml:space="preserve">atch </w:t>
      </w:r>
      <w:r w:rsidR="00696DEB" w:rsidRPr="00A1149C">
        <w:t xml:space="preserve">was established to build closer relationships with Thames Valley Police, Oxford City Council and the hotel industry. It is aimed at helping to identify offences that take place in hotels </w:t>
      </w:r>
      <w:r w:rsidR="006C6097" w:rsidRPr="00A1149C">
        <w:t xml:space="preserve">and other forms of accommodation </w:t>
      </w:r>
      <w:r w:rsidR="00696DEB" w:rsidRPr="00A1149C">
        <w:t>and to protect vulnerable people from exploitation.</w:t>
      </w:r>
    </w:p>
    <w:p w:rsidR="00696DEB" w:rsidRPr="00A1149C" w:rsidRDefault="00696DEB" w:rsidP="000C26E4">
      <w:pPr>
        <w:shd w:val="clear" w:color="auto" w:fill="FFFFFF"/>
        <w:spacing w:after="0"/>
        <w:ind w:left="426" w:hanging="142"/>
        <w:rPr>
          <w:rFonts w:cs="Arial"/>
          <w:b/>
          <w:color w:val="auto"/>
        </w:rPr>
      </w:pPr>
    </w:p>
    <w:p w:rsidR="00696DEB" w:rsidRPr="00A1149C" w:rsidRDefault="00696DEB" w:rsidP="000C26E4">
      <w:pPr>
        <w:shd w:val="clear" w:color="auto" w:fill="FFFFFF"/>
        <w:spacing w:after="0"/>
        <w:ind w:left="426" w:hanging="142"/>
        <w:rPr>
          <w:rFonts w:cs="Arial"/>
          <w:b/>
          <w:color w:val="auto"/>
        </w:rPr>
      </w:pPr>
      <w:r w:rsidRPr="00A1149C">
        <w:rPr>
          <w:rFonts w:cs="Arial"/>
          <w:b/>
          <w:color w:val="auto"/>
        </w:rPr>
        <w:t>Central recording system</w:t>
      </w:r>
    </w:p>
    <w:p w:rsidR="006C6097" w:rsidRPr="00A1149C" w:rsidRDefault="006C6097" w:rsidP="000C26E4">
      <w:pPr>
        <w:shd w:val="clear" w:color="auto" w:fill="FFFFFF"/>
        <w:spacing w:after="0"/>
        <w:ind w:left="426" w:hanging="142"/>
        <w:rPr>
          <w:rFonts w:cs="Arial"/>
          <w:b/>
          <w:color w:val="auto"/>
        </w:rPr>
      </w:pPr>
    </w:p>
    <w:p w:rsidR="006C6097" w:rsidRPr="00A1149C" w:rsidRDefault="00696DEB" w:rsidP="00354373">
      <w:pPr>
        <w:pStyle w:val="bParagraphtext"/>
        <w:rPr>
          <w:color w:val="000000" w:themeColor="text1"/>
        </w:rPr>
      </w:pPr>
      <w:r w:rsidRPr="00A1149C">
        <w:t>It is essential moving forward that</w:t>
      </w:r>
      <w:r w:rsidR="003B7A52" w:rsidRPr="00A1149C">
        <w:t xml:space="preserve"> the Council is </w:t>
      </w:r>
      <w:r w:rsidRPr="00A1149C">
        <w:t>able to centrally collate concerns raised within teams a</w:t>
      </w:r>
      <w:r w:rsidR="003B7A52" w:rsidRPr="00A1149C">
        <w:t xml:space="preserve">s well as </w:t>
      </w:r>
      <w:r w:rsidRPr="00A1149C">
        <w:t xml:space="preserve">external referrals /requests for assessment/welfare checks. </w:t>
      </w:r>
      <w:r w:rsidR="003B7A52" w:rsidRPr="00A1149C">
        <w:t xml:space="preserve">This </w:t>
      </w:r>
      <w:r w:rsidRPr="00A1149C">
        <w:t>would give</w:t>
      </w:r>
      <w:r w:rsidR="003B7A52" w:rsidRPr="00A1149C">
        <w:t xml:space="preserve"> the Council </w:t>
      </w:r>
      <w:r w:rsidRPr="00A1149C">
        <w:t xml:space="preserve">the ability to recognise pockets across the city that perhaps have high numbers of safeguarding concerns </w:t>
      </w:r>
      <w:r w:rsidR="003B7A52" w:rsidRPr="00A1149C">
        <w:t>and be able to f</w:t>
      </w:r>
      <w:r w:rsidRPr="00A1149C">
        <w:t xml:space="preserve">eed </w:t>
      </w:r>
      <w:r w:rsidR="003B7A52" w:rsidRPr="00A1149C">
        <w:t xml:space="preserve">this knowledge </w:t>
      </w:r>
      <w:r w:rsidRPr="00A1149C">
        <w:t>into local plans when developing service provision.</w:t>
      </w:r>
    </w:p>
    <w:p w:rsidR="006C6097" w:rsidRPr="00A1149C" w:rsidRDefault="00696DEB" w:rsidP="006C6097">
      <w:pPr>
        <w:pStyle w:val="ListParagraph"/>
        <w:numPr>
          <w:ilvl w:val="0"/>
          <w:numId w:val="0"/>
        </w:numPr>
        <w:shd w:val="clear" w:color="auto" w:fill="FFFFFF"/>
        <w:spacing w:after="0"/>
        <w:ind w:left="644"/>
        <w:rPr>
          <w:rFonts w:cs="Arial"/>
          <w:color w:val="000000" w:themeColor="text1"/>
        </w:rPr>
      </w:pPr>
      <w:r w:rsidRPr="00A1149C">
        <w:rPr>
          <w:rFonts w:cs="Arial"/>
          <w:color w:val="000000" w:themeColor="text1"/>
        </w:rPr>
        <w:t xml:space="preserve">  </w:t>
      </w:r>
    </w:p>
    <w:p w:rsidR="00ED6501" w:rsidRPr="00A1149C" w:rsidRDefault="00696DEB" w:rsidP="00354373">
      <w:pPr>
        <w:pStyle w:val="bParagraphtext"/>
      </w:pPr>
      <w:r w:rsidRPr="00A1149C">
        <w:t>This will remain a priority for the year ahead</w:t>
      </w:r>
      <w:r w:rsidR="00ED6501" w:rsidRPr="00A1149C">
        <w:t xml:space="preserve"> as </w:t>
      </w:r>
      <w:r w:rsidR="003B7A52" w:rsidRPr="00A1149C">
        <w:t xml:space="preserve">the Council has </w:t>
      </w:r>
      <w:r w:rsidR="00ED6501" w:rsidRPr="00A1149C">
        <w:t>experienced challenges with the proposed IT system</w:t>
      </w:r>
      <w:r w:rsidR="003B7A52" w:rsidRPr="00A1149C">
        <w:t xml:space="preserve"> planned to </w:t>
      </w:r>
      <w:r w:rsidR="00ED6501" w:rsidRPr="00A1149C">
        <w:t>enable us to implement a central recording system,</w:t>
      </w:r>
      <w:r w:rsidR="003B7A52" w:rsidRPr="00A1149C">
        <w:t xml:space="preserve">. The problem stems from the </w:t>
      </w:r>
      <w:r w:rsidR="00ED6501" w:rsidRPr="00A1149C">
        <w:t>need to ensure information</w:t>
      </w:r>
      <w:r w:rsidR="003B7A52" w:rsidRPr="00A1149C">
        <w:t xml:space="preserve"> contained within the system </w:t>
      </w:r>
      <w:r w:rsidR="00ED6501" w:rsidRPr="00A1149C">
        <w:t xml:space="preserve">is secure. </w:t>
      </w:r>
    </w:p>
    <w:p w:rsidR="006C6097" w:rsidRPr="00A1149C" w:rsidRDefault="006C6097" w:rsidP="006C6097">
      <w:pPr>
        <w:pStyle w:val="ListParagraph"/>
        <w:numPr>
          <w:ilvl w:val="0"/>
          <w:numId w:val="0"/>
        </w:numPr>
        <w:ind w:left="426"/>
        <w:rPr>
          <w:rFonts w:cs="Arial"/>
          <w:color w:val="000000" w:themeColor="text1"/>
        </w:rPr>
      </w:pPr>
    </w:p>
    <w:p w:rsidR="00893EF3" w:rsidRPr="00A1149C" w:rsidRDefault="00EE063B" w:rsidP="000C26E4">
      <w:pPr>
        <w:shd w:val="clear" w:color="auto" w:fill="FFFFFF"/>
        <w:spacing w:after="0"/>
        <w:ind w:firstLine="284"/>
        <w:rPr>
          <w:rFonts w:cs="Arial"/>
          <w:b/>
          <w:color w:val="000000" w:themeColor="text1"/>
        </w:rPr>
      </w:pPr>
      <w:r w:rsidRPr="00A1149C">
        <w:rPr>
          <w:rFonts w:cs="Arial"/>
          <w:b/>
          <w:color w:val="000000" w:themeColor="text1"/>
        </w:rPr>
        <w:t>Safeguarding</w:t>
      </w:r>
      <w:r w:rsidR="00F6549D" w:rsidRPr="00A1149C">
        <w:rPr>
          <w:rFonts w:cs="Arial"/>
          <w:b/>
          <w:color w:val="000000" w:themeColor="text1"/>
        </w:rPr>
        <w:t xml:space="preserve"> co</w:t>
      </w:r>
      <w:r w:rsidR="00E4063F" w:rsidRPr="00A1149C">
        <w:rPr>
          <w:rFonts w:cs="Arial"/>
          <w:b/>
          <w:color w:val="000000" w:themeColor="text1"/>
        </w:rPr>
        <w:t>-</w:t>
      </w:r>
      <w:r w:rsidR="00F6549D" w:rsidRPr="00A1149C">
        <w:rPr>
          <w:rFonts w:cs="Arial"/>
          <w:b/>
          <w:color w:val="000000" w:themeColor="text1"/>
        </w:rPr>
        <w:t xml:space="preserve"> </w:t>
      </w:r>
      <w:r w:rsidR="00E4063F" w:rsidRPr="00A1149C">
        <w:rPr>
          <w:rFonts w:cs="Arial"/>
          <w:b/>
          <w:color w:val="000000" w:themeColor="text1"/>
        </w:rPr>
        <w:t>coordinator</w:t>
      </w:r>
      <w:r w:rsidR="00F6549D" w:rsidRPr="00A1149C">
        <w:rPr>
          <w:rFonts w:cs="Arial"/>
          <w:b/>
          <w:color w:val="000000" w:themeColor="text1"/>
        </w:rPr>
        <w:t xml:space="preserve"> role</w:t>
      </w:r>
    </w:p>
    <w:p w:rsidR="006C6097" w:rsidRPr="00A1149C" w:rsidRDefault="006C6097" w:rsidP="000C26E4">
      <w:pPr>
        <w:shd w:val="clear" w:color="auto" w:fill="FFFFFF"/>
        <w:spacing w:after="0"/>
        <w:ind w:firstLine="284"/>
        <w:rPr>
          <w:rFonts w:cs="Arial"/>
          <w:b/>
          <w:color w:val="000000" w:themeColor="text1"/>
        </w:rPr>
      </w:pPr>
    </w:p>
    <w:p w:rsidR="00696DEB" w:rsidRPr="00A1149C" w:rsidRDefault="00F6549D" w:rsidP="00354373">
      <w:pPr>
        <w:pStyle w:val="bParagraphtext"/>
      </w:pPr>
      <w:r w:rsidRPr="00A1149C">
        <w:t xml:space="preserve">This role </w:t>
      </w:r>
      <w:r w:rsidR="007C7230" w:rsidRPr="00A1149C">
        <w:t xml:space="preserve">actively supports internal and external </w:t>
      </w:r>
      <w:r w:rsidR="001D6BF8" w:rsidRPr="00A1149C">
        <w:t>partnerships</w:t>
      </w:r>
      <w:r w:rsidR="007C7230" w:rsidRPr="00A1149C">
        <w:t xml:space="preserve"> and </w:t>
      </w:r>
      <w:r w:rsidRPr="00A1149C">
        <w:t>has</w:t>
      </w:r>
      <w:r w:rsidR="007C7230" w:rsidRPr="00A1149C">
        <w:t xml:space="preserve"> taken a lead in the support a</w:t>
      </w:r>
      <w:r w:rsidR="000939C9" w:rsidRPr="00A1149C">
        <w:t>nd progression of the Council</w:t>
      </w:r>
      <w:r w:rsidR="008F2470" w:rsidRPr="00A1149C">
        <w:t>’</w:t>
      </w:r>
      <w:r w:rsidR="000939C9" w:rsidRPr="00A1149C">
        <w:t>s S</w:t>
      </w:r>
      <w:r w:rsidR="007C7230" w:rsidRPr="00A1149C">
        <w:t>afeguarding Action Plan.</w:t>
      </w:r>
    </w:p>
    <w:p w:rsidR="008F2470" w:rsidRPr="00354373" w:rsidRDefault="00F6549D" w:rsidP="00354373">
      <w:pPr>
        <w:pStyle w:val="bParagraphtext"/>
      </w:pPr>
      <w:r w:rsidRPr="00A1149C">
        <w:t xml:space="preserve">Areas of focus </w:t>
      </w:r>
      <w:r w:rsidR="006F1306" w:rsidRPr="00A1149C">
        <w:t xml:space="preserve">this year </w:t>
      </w:r>
      <w:r w:rsidRPr="00A1149C">
        <w:t>have been</w:t>
      </w:r>
      <w:r w:rsidR="000939C9" w:rsidRPr="00A1149C">
        <w:t>:</w:t>
      </w:r>
    </w:p>
    <w:p w:rsidR="00F6549D" w:rsidRPr="00A1149C" w:rsidRDefault="00696DEB" w:rsidP="000C26E4">
      <w:pPr>
        <w:pStyle w:val="ListParagraph"/>
        <w:numPr>
          <w:ilvl w:val="0"/>
          <w:numId w:val="12"/>
        </w:numPr>
        <w:spacing w:after="0"/>
        <w:rPr>
          <w:rFonts w:cs="Arial"/>
        </w:rPr>
      </w:pPr>
      <w:r w:rsidRPr="00A1149C">
        <w:rPr>
          <w:rFonts w:cs="Arial"/>
        </w:rPr>
        <w:t>R</w:t>
      </w:r>
      <w:r w:rsidR="00F6549D" w:rsidRPr="00A1149C">
        <w:rPr>
          <w:rFonts w:cs="Arial"/>
        </w:rPr>
        <w:t>e</w:t>
      </w:r>
      <w:r w:rsidR="000939C9" w:rsidRPr="00A1149C">
        <w:rPr>
          <w:rFonts w:cs="Arial"/>
        </w:rPr>
        <w:t>view</w:t>
      </w:r>
      <w:r w:rsidRPr="00A1149C">
        <w:rPr>
          <w:rFonts w:cs="Arial"/>
        </w:rPr>
        <w:t xml:space="preserve"> and updating of </w:t>
      </w:r>
      <w:r w:rsidR="000939C9" w:rsidRPr="00A1149C">
        <w:rPr>
          <w:rFonts w:cs="Arial"/>
        </w:rPr>
        <w:t>internal training packages</w:t>
      </w:r>
      <w:r w:rsidRPr="00A1149C">
        <w:rPr>
          <w:rFonts w:cs="Arial"/>
        </w:rPr>
        <w:t xml:space="preserve"> and undertaking an evaluation of the </w:t>
      </w:r>
      <w:r w:rsidR="000939C9" w:rsidRPr="00A1149C">
        <w:rPr>
          <w:rFonts w:cs="Arial"/>
        </w:rPr>
        <w:t>City Council</w:t>
      </w:r>
      <w:r w:rsidRPr="00A1149C">
        <w:rPr>
          <w:rFonts w:cs="Arial"/>
        </w:rPr>
        <w:t xml:space="preserve">’s </w:t>
      </w:r>
      <w:r w:rsidR="000939C9" w:rsidRPr="00A1149C">
        <w:rPr>
          <w:rFonts w:cs="Arial"/>
        </w:rPr>
        <w:t>T</w:t>
      </w:r>
      <w:r w:rsidR="00F6549D" w:rsidRPr="00A1149C">
        <w:rPr>
          <w:rFonts w:cs="Arial"/>
        </w:rPr>
        <w:t>raining</w:t>
      </w:r>
      <w:r w:rsidR="000939C9" w:rsidRPr="00A1149C">
        <w:rPr>
          <w:rFonts w:cs="Arial"/>
        </w:rPr>
        <w:t xml:space="preserve"> Programme</w:t>
      </w:r>
    </w:p>
    <w:p w:rsidR="003B7A52" w:rsidRPr="00A1149C" w:rsidRDefault="00F6549D" w:rsidP="003B7A52">
      <w:pPr>
        <w:pStyle w:val="ListParagraph"/>
        <w:numPr>
          <w:ilvl w:val="0"/>
          <w:numId w:val="12"/>
        </w:numPr>
        <w:spacing w:before="100" w:beforeAutospacing="1" w:after="100" w:afterAutospacing="1"/>
        <w:rPr>
          <w:rFonts w:cs="Arial"/>
          <w:color w:val="auto"/>
          <w:lang w:val="en"/>
        </w:rPr>
      </w:pPr>
      <w:r w:rsidRPr="00A1149C">
        <w:rPr>
          <w:rFonts w:cs="Arial"/>
        </w:rPr>
        <w:t xml:space="preserve">Securing funding and </w:t>
      </w:r>
      <w:r w:rsidR="000939C9" w:rsidRPr="00A1149C">
        <w:rPr>
          <w:rFonts w:cs="Arial"/>
        </w:rPr>
        <w:t xml:space="preserve">the </w:t>
      </w:r>
      <w:r w:rsidRPr="00A1149C">
        <w:rPr>
          <w:rFonts w:cs="Arial"/>
        </w:rPr>
        <w:t xml:space="preserve">delivery of </w:t>
      </w:r>
      <w:r w:rsidR="003B7A52" w:rsidRPr="00A1149C">
        <w:rPr>
          <w:rFonts w:cs="Arial"/>
        </w:rPr>
        <w:t>‘M</w:t>
      </w:r>
      <w:r w:rsidRPr="00A1149C">
        <w:rPr>
          <w:rFonts w:cs="Arial"/>
        </w:rPr>
        <w:t xml:space="preserve">ental </w:t>
      </w:r>
      <w:r w:rsidR="003B7A52" w:rsidRPr="00A1149C">
        <w:rPr>
          <w:rFonts w:cs="Arial"/>
        </w:rPr>
        <w:t>Capacity T</w:t>
      </w:r>
      <w:r w:rsidRPr="00A1149C">
        <w:rPr>
          <w:rFonts w:cs="Arial"/>
        </w:rPr>
        <w:t>raining</w:t>
      </w:r>
      <w:r w:rsidR="003B7A52" w:rsidRPr="00A1149C">
        <w:rPr>
          <w:rFonts w:cs="Arial"/>
        </w:rPr>
        <w:t>’</w:t>
      </w:r>
      <w:r w:rsidR="000939C9" w:rsidRPr="00A1149C">
        <w:rPr>
          <w:rFonts w:cs="Arial"/>
        </w:rPr>
        <w:t xml:space="preserve"> for key frontline staff</w:t>
      </w:r>
      <w:r w:rsidR="003B7A52" w:rsidRPr="00A1149C">
        <w:rPr>
          <w:rFonts w:cs="Arial"/>
        </w:rPr>
        <w:t xml:space="preserve"> </w:t>
      </w:r>
      <w:r w:rsidR="003B7A52" w:rsidRPr="00A1149C">
        <w:rPr>
          <w:rFonts w:cs="Arial"/>
          <w:color w:val="auto"/>
        </w:rPr>
        <w:t xml:space="preserve">(to ensure that staff are aware </w:t>
      </w:r>
      <w:r w:rsidR="003B7A52" w:rsidRPr="00A1149C">
        <w:rPr>
          <w:rFonts w:cs="Arial"/>
          <w:color w:val="auto"/>
          <w:lang w:val="en"/>
        </w:rPr>
        <w:t>of their legal responsibilities under the Mental Capacity Act and for them to have the knowledge to apply them in their everyday practice)</w:t>
      </w:r>
    </w:p>
    <w:p w:rsidR="00F6549D" w:rsidRPr="00A1149C" w:rsidRDefault="00F6549D" w:rsidP="000C26E4">
      <w:pPr>
        <w:pStyle w:val="ListParagraph"/>
        <w:numPr>
          <w:ilvl w:val="0"/>
          <w:numId w:val="12"/>
        </w:numPr>
        <w:spacing w:after="0"/>
        <w:rPr>
          <w:rFonts w:cs="Arial"/>
        </w:rPr>
      </w:pPr>
      <w:r w:rsidRPr="00A1149C">
        <w:rPr>
          <w:rFonts w:cs="Arial"/>
        </w:rPr>
        <w:t xml:space="preserve">Designing a format for a central data base for </w:t>
      </w:r>
      <w:r w:rsidR="009519CE" w:rsidRPr="00A1149C">
        <w:rPr>
          <w:rFonts w:cs="Arial"/>
        </w:rPr>
        <w:t>tracking concerns and referrals made</w:t>
      </w:r>
    </w:p>
    <w:p w:rsidR="00F6549D" w:rsidRPr="00A1149C" w:rsidRDefault="00F6549D" w:rsidP="000C26E4">
      <w:pPr>
        <w:pStyle w:val="ListParagraph"/>
        <w:numPr>
          <w:ilvl w:val="0"/>
          <w:numId w:val="12"/>
        </w:numPr>
        <w:spacing w:after="0"/>
        <w:rPr>
          <w:rFonts w:cs="Arial"/>
        </w:rPr>
      </w:pPr>
      <w:r w:rsidRPr="00A1149C">
        <w:rPr>
          <w:rFonts w:cs="Arial"/>
        </w:rPr>
        <w:t xml:space="preserve">Contributing to </w:t>
      </w:r>
      <w:r w:rsidR="00696DEB" w:rsidRPr="00A1149C">
        <w:rPr>
          <w:rFonts w:cs="Arial"/>
        </w:rPr>
        <w:t>the development of</w:t>
      </w:r>
      <w:r w:rsidRPr="00A1149C">
        <w:rPr>
          <w:rFonts w:cs="Arial"/>
        </w:rPr>
        <w:t xml:space="preserve"> external assessme</w:t>
      </w:r>
      <w:r w:rsidR="00696DEB" w:rsidRPr="00A1149C">
        <w:rPr>
          <w:rFonts w:cs="Arial"/>
        </w:rPr>
        <w:t xml:space="preserve">nt tools and </w:t>
      </w:r>
      <w:r w:rsidR="000939C9" w:rsidRPr="00A1149C">
        <w:rPr>
          <w:rFonts w:cs="Arial"/>
        </w:rPr>
        <w:t>OSAB training packages</w:t>
      </w:r>
    </w:p>
    <w:p w:rsidR="00F6549D" w:rsidRPr="00A1149C" w:rsidRDefault="00F6549D" w:rsidP="000C26E4">
      <w:pPr>
        <w:pStyle w:val="ListParagraph"/>
        <w:numPr>
          <w:ilvl w:val="0"/>
          <w:numId w:val="12"/>
        </w:numPr>
        <w:spacing w:after="0"/>
        <w:rPr>
          <w:rFonts w:cs="Arial"/>
        </w:rPr>
      </w:pPr>
      <w:r w:rsidRPr="00A1149C">
        <w:rPr>
          <w:rFonts w:cs="Arial"/>
        </w:rPr>
        <w:t>Collating and presenting rep</w:t>
      </w:r>
      <w:r w:rsidR="000939C9" w:rsidRPr="00A1149C">
        <w:rPr>
          <w:rFonts w:cs="Arial"/>
        </w:rPr>
        <w:t>orts on behalf of the districts councils (on training)</w:t>
      </w:r>
    </w:p>
    <w:p w:rsidR="00F6549D" w:rsidRPr="00A1149C" w:rsidRDefault="00F6549D" w:rsidP="000C26E4">
      <w:pPr>
        <w:pStyle w:val="ListParagraph"/>
        <w:numPr>
          <w:ilvl w:val="0"/>
          <w:numId w:val="12"/>
        </w:numPr>
        <w:spacing w:after="0"/>
        <w:rPr>
          <w:rFonts w:cs="Arial"/>
        </w:rPr>
      </w:pPr>
      <w:r w:rsidRPr="00A1149C">
        <w:rPr>
          <w:rFonts w:cs="Arial"/>
        </w:rPr>
        <w:t xml:space="preserve">Working across </w:t>
      </w:r>
      <w:r w:rsidR="009519CE" w:rsidRPr="00A1149C">
        <w:rPr>
          <w:rFonts w:cs="Arial"/>
        </w:rPr>
        <w:t>the Council</w:t>
      </w:r>
      <w:r w:rsidR="00C1303E">
        <w:rPr>
          <w:rFonts w:cs="Arial"/>
        </w:rPr>
        <w:t>’</w:t>
      </w:r>
      <w:r w:rsidR="009519CE" w:rsidRPr="00A1149C">
        <w:rPr>
          <w:rFonts w:cs="Arial"/>
        </w:rPr>
        <w:t>s service areas</w:t>
      </w:r>
      <w:r w:rsidRPr="00A1149C">
        <w:rPr>
          <w:rFonts w:cs="Arial"/>
        </w:rPr>
        <w:t xml:space="preserve"> to guide consistency of approach</w:t>
      </w:r>
    </w:p>
    <w:p w:rsidR="000939C9" w:rsidRPr="00A1149C" w:rsidRDefault="000939C9" w:rsidP="000C26E4">
      <w:pPr>
        <w:pStyle w:val="ListParagraph"/>
        <w:numPr>
          <w:ilvl w:val="0"/>
          <w:numId w:val="12"/>
        </w:numPr>
        <w:spacing w:after="0"/>
        <w:rPr>
          <w:rFonts w:cs="Arial"/>
        </w:rPr>
      </w:pPr>
      <w:r w:rsidRPr="00A1149C">
        <w:rPr>
          <w:rFonts w:cs="Arial"/>
        </w:rPr>
        <w:t>Facilitating and developing the role of the Named Safeguarding Officers Group</w:t>
      </w:r>
    </w:p>
    <w:p w:rsidR="000939C9" w:rsidRPr="00A1149C" w:rsidRDefault="007C7230" w:rsidP="000C26E4">
      <w:pPr>
        <w:pStyle w:val="ListParagraph"/>
        <w:numPr>
          <w:ilvl w:val="0"/>
          <w:numId w:val="12"/>
        </w:numPr>
        <w:spacing w:after="0"/>
        <w:rPr>
          <w:rFonts w:cs="Arial"/>
        </w:rPr>
      </w:pPr>
      <w:r w:rsidRPr="00A1149C">
        <w:rPr>
          <w:rFonts w:cs="Arial"/>
        </w:rPr>
        <w:t>Completion of the S</w:t>
      </w:r>
      <w:r w:rsidR="000939C9" w:rsidRPr="00A1149C">
        <w:rPr>
          <w:rFonts w:cs="Arial"/>
        </w:rPr>
        <w:t>ection 11 Self- Assessment</w:t>
      </w:r>
    </w:p>
    <w:p w:rsidR="000939C9" w:rsidRPr="00A1149C" w:rsidRDefault="000939C9" w:rsidP="000C26E4">
      <w:pPr>
        <w:pStyle w:val="ListParagraph"/>
        <w:numPr>
          <w:ilvl w:val="0"/>
          <w:numId w:val="12"/>
        </w:numPr>
        <w:spacing w:after="0"/>
        <w:rPr>
          <w:rFonts w:cs="Arial"/>
        </w:rPr>
      </w:pPr>
      <w:r w:rsidRPr="00A1149C">
        <w:rPr>
          <w:rFonts w:cs="Arial"/>
        </w:rPr>
        <w:t xml:space="preserve">Completing a safeguarding audit of </w:t>
      </w:r>
      <w:r w:rsidR="009519CE" w:rsidRPr="00A1149C">
        <w:rPr>
          <w:rFonts w:cs="Arial"/>
        </w:rPr>
        <w:t xml:space="preserve">the </w:t>
      </w:r>
      <w:r w:rsidR="00ED6501" w:rsidRPr="00A1149C">
        <w:rPr>
          <w:rFonts w:cs="Arial"/>
        </w:rPr>
        <w:t>Youth A</w:t>
      </w:r>
      <w:r w:rsidRPr="00A1149C">
        <w:rPr>
          <w:rFonts w:cs="Arial"/>
        </w:rPr>
        <w:t>mbition service</w:t>
      </w:r>
      <w:r w:rsidR="00F62E2B">
        <w:rPr>
          <w:rFonts w:cs="Arial"/>
        </w:rPr>
        <w:t>.</w:t>
      </w:r>
    </w:p>
    <w:p w:rsidR="008F2470" w:rsidRPr="00A1149C" w:rsidRDefault="008F2470" w:rsidP="008F2470">
      <w:pPr>
        <w:pStyle w:val="ListParagraph"/>
        <w:numPr>
          <w:ilvl w:val="0"/>
          <w:numId w:val="0"/>
        </w:numPr>
        <w:spacing w:after="0"/>
        <w:ind w:left="720"/>
        <w:rPr>
          <w:rFonts w:cs="Arial"/>
        </w:rPr>
      </w:pPr>
    </w:p>
    <w:p w:rsidR="00893EF3" w:rsidRPr="00A1149C" w:rsidRDefault="00893EF3" w:rsidP="008F2470">
      <w:pPr>
        <w:pStyle w:val="ListParagraph"/>
        <w:numPr>
          <w:ilvl w:val="0"/>
          <w:numId w:val="0"/>
        </w:numPr>
        <w:shd w:val="clear" w:color="auto" w:fill="FFFFFF"/>
        <w:spacing w:after="0"/>
        <w:ind w:left="360"/>
        <w:rPr>
          <w:rFonts w:cs="Arial"/>
          <w:b/>
          <w:color w:val="auto"/>
        </w:rPr>
      </w:pPr>
      <w:r w:rsidRPr="00A1149C">
        <w:rPr>
          <w:rFonts w:cs="Arial"/>
          <w:b/>
          <w:color w:val="auto"/>
        </w:rPr>
        <w:t xml:space="preserve">Priorities to focus on </w:t>
      </w:r>
      <w:r w:rsidR="006F1306" w:rsidRPr="00A1149C">
        <w:rPr>
          <w:rFonts w:cs="Arial"/>
          <w:b/>
          <w:color w:val="auto"/>
        </w:rPr>
        <w:t>2017/18</w:t>
      </w:r>
    </w:p>
    <w:p w:rsidR="008F2470" w:rsidRPr="00A1149C" w:rsidRDefault="008F2470" w:rsidP="008F2470">
      <w:pPr>
        <w:pStyle w:val="ListParagraph"/>
        <w:numPr>
          <w:ilvl w:val="0"/>
          <w:numId w:val="0"/>
        </w:numPr>
        <w:shd w:val="clear" w:color="auto" w:fill="FFFFFF"/>
        <w:spacing w:after="0"/>
        <w:ind w:left="360"/>
        <w:rPr>
          <w:rFonts w:cs="Arial"/>
          <w:b/>
          <w:color w:val="auto"/>
        </w:rPr>
      </w:pPr>
    </w:p>
    <w:p w:rsidR="008F2470" w:rsidRPr="00A1149C" w:rsidRDefault="00D67189" w:rsidP="00354373">
      <w:pPr>
        <w:pStyle w:val="bParagraphtext"/>
      </w:pPr>
      <w:r w:rsidRPr="00A1149C">
        <w:t xml:space="preserve">The year ahead is one of </w:t>
      </w:r>
      <w:r w:rsidR="00984347" w:rsidRPr="00A1149C">
        <w:t xml:space="preserve">challenge and </w:t>
      </w:r>
      <w:r w:rsidRPr="00A1149C">
        <w:t xml:space="preserve">change. The </w:t>
      </w:r>
      <w:r w:rsidR="00FC46FD" w:rsidRPr="00A1149C">
        <w:t>structure</w:t>
      </w:r>
      <w:r w:rsidRPr="00A1149C">
        <w:t xml:space="preserve"> of </w:t>
      </w:r>
      <w:r w:rsidR="00ED6501" w:rsidRPr="00A1149C">
        <w:t>Oxfordshire County Council</w:t>
      </w:r>
      <w:r w:rsidR="00F62E2B">
        <w:t>’s</w:t>
      </w:r>
      <w:r w:rsidR="00ED6501" w:rsidRPr="00A1149C">
        <w:t xml:space="preserve"> </w:t>
      </w:r>
      <w:r w:rsidRPr="00A1149C">
        <w:t xml:space="preserve">services </w:t>
      </w:r>
      <w:r w:rsidR="000939C9" w:rsidRPr="00A1149C">
        <w:t xml:space="preserve">both for </w:t>
      </w:r>
      <w:r w:rsidRPr="00A1149C">
        <w:t>children</w:t>
      </w:r>
      <w:r w:rsidR="000939C9" w:rsidRPr="00A1149C">
        <w:t xml:space="preserve"> and adults at risk</w:t>
      </w:r>
      <w:r w:rsidRPr="00A1149C">
        <w:t xml:space="preserve"> have been redesigned.</w:t>
      </w:r>
      <w:r w:rsidR="006F1306" w:rsidRPr="00A1149C">
        <w:t xml:space="preserve"> </w:t>
      </w:r>
      <w:r w:rsidR="00802C22" w:rsidRPr="00A1149C">
        <w:t>This has included closure of some prevention and early intervention services</w:t>
      </w:r>
      <w:r w:rsidR="00984347" w:rsidRPr="00A1149C">
        <w:t xml:space="preserve">. The </w:t>
      </w:r>
      <w:r w:rsidR="00802C22" w:rsidRPr="00A1149C">
        <w:t xml:space="preserve">impact </w:t>
      </w:r>
      <w:r w:rsidR="00984347" w:rsidRPr="00A1149C">
        <w:t xml:space="preserve">of these changes </w:t>
      </w:r>
      <w:r w:rsidR="00802C22" w:rsidRPr="00A1149C">
        <w:t>on</w:t>
      </w:r>
      <w:r w:rsidR="00984347" w:rsidRPr="00A1149C">
        <w:t xml:space="preserve"> </w:t>
      </w:r>
      <w:r w:rsidR="00514C02" w:rsidRPr="00A1149C">
        <w:t>children</w:t>
      </w:r>
      <w:r w:rsidR="00984347" w:rsidRPr="00A1149C">
        <w:t xml:space="preserve"> and vulnerable adults are as yet unclear and will need to be closely monitored and evaluated.</w:t>
      </w:r>
    </w:p>
    <w:p w:rsidR="008F2470" w:rsidRPr="00A1149C" w:rsidRDefault="005D6BD6" w:rsidP="00354373">
      <w:pPr>
        <w:pStyle w:val="bParagraphtext"/>
      </w:pPr>
      <w:r w:rsidRPr="00A1149C">
        <w:t xml:space="preserve"> </w:t>
      </w:r>
      <w:r w:rsidR="006F1306" w:rsidRPr="00A1149C">
        <w:t>These changes</w:t>
      </w:r>
      <w:r w:rsidR="00984347" w:rsidRPr="00A1149C">
        <w:t xml:space="preserve"> and the developing outcomes </w:t>
      </w:r>
      <w:r w:rsidR="006F1306" w:rsidRPr="00A1149C">
        <w:t>will influence</w:t>
      </w:r>
      <w:r w:rsidR="00DD4389" w:rsidRPr="00A1149C">
        <w:t xml:space="preserve"> our safeguarding responsibilities and </w:t>
      </w:r>
      <w:r w:rsidR="00014367" w:rsidRPr="00A1149C">
        <w:t>work priorities in the coming y</w:t>
      </w:r>
      <w:r w:rsidR="00DD4389" w:rsidRPr="00A1149C">
        <w:t>ear</w:t>
      </w:r>
      <w:r w:rsidR="00514C02" w:rsidRPr="00A1149C">
        <w:t xml:space="preserve">. </w:t>
      </w:r>
      <w:r w:rsidR="008F2470" w:rsidRPr="00A1149C">
        <w:t xml:space="preserve">The </w:t>
      </w:r>
      <w:r w:rsidR="00514C02" w:rsidRPr="00A1149C">
        <w:t xml:space="preserve">Safeguarding Action Plan 2017/18 </w:t>
      </w:r>
      <w:r w:rsidR="008F2470" w:rsidRPr="00A1149C">
        <w:t>is a</w:t>
      </w:r>
      <w:r w:rsidR="00514C02" w:rsidRPr="00A1149C">
        <w:t xml:space="preserve">ttached as </w:t>
      </w:r>
      <w:r w:rsidR="00F62E2B">
        <w:t>A</w:t>
      </w:r>
      <w:r w:rsidR="00514C02" w:rsidRPr="00A1149C">
        <w:t xml:space="preserve">ppendix </w:t>
      </w:r>
      <w:r w:rsidR="00984347" w:rsidRPr="00A1149C">
        <w:t>2</w:t>
      </w:r>
      <w:r w:rsidR="00514C02" w:rsidRPr="00A1149C">
        <w:t>.</w:t>
      </w:r>
    </w:p>
    <w:p w:rsidR="002E5F8B" w:rsidRPr="00A1149C" w:rsidRDefault="00C20DB8" w:rsidP="00354373">
      <w:pPr>
        <w:pStyle w:val="bParagraphtext"/>
      </w:pPr>
      <w:r w:rsidRPr="00A1149C">
        <w:t>The key a</w:t>
      </w:r>
      <w:r w:rsidR="00F62E2B">
        <w:t xml:space="preserve">reas of </w:t>
      </w:r>
      <w:r w:rsidRPr="00A1149C">
        <w:t>focus include:</w:t>
      </w:r>
    </w:p>
    <w:p w:rsidR="00C20DB8" w:rsidRPr="00A1149C" w:rsidRDefault="00C20DB8" w:rsidP="000C26E4">
      <w:pPr>
        <w:pStyle w:val="ListParagraph"/>
        <w:numPr>
          <w:ilvl w:val="0"/>
          <w:numId w:val="21"/>
        </w:numPr>
        <w:shd w:val="clear" w:color="auto" w:fill="FFFFFF"/>
        <w:spacing w:after="0"/>
        <w:rPr>
          <w:rFonts w:cs="Arial"/>
        </w:rPr>
      </w:pPr>
      <w:r w:rsidRPr="00A1149C">
        <w:rPr>
          <w:rFonts w:cs="Arial"/>
        </w:rPr>
        <w:lastRenderedPageBreak/>
        <w:t>Ensuring that our policies and procedures are up</w:t>
      </w:r>
      <w:r w:rsidR="008F2470" w:rsidRPr="00A1149C">
        <w:rPr>
          <w:rFonts w:cs="Arial"/>
        </w:rPr>
        <w:t xml:space="preserve"> to date </w:t>
      </w:r>
      <w:r w:rsidRPr="00A1149C">
        <w:rPr>
          <w:rFonts w:cs="Arial"/>
        </w:rPr>
        <w:t>and reflect changes</w:t>
      </w:r>
      <w:r w:rsidR="00655665" w:rsidRPr="00A1149C">
        <w:rPr>
          <w:rFonts w:cs="Arial"/>
        </w:rPr>
        <w:t xml:space="preserve"> </w:t>
      </w:r>
      <w:r w:rsidRPr="00A1149C">
        <w:rPr>
          <w:rFonts w:cs="Arial"/>
        </w:rPr>
        <w:t>internally and externally</w:t>
      </w:r>
      <w:r w:rsidR="00655665" w:rsidRPr="00A1149C">
        <w:rPr>
          <w:rFonts w:cs="Arial"/>
        </w:rPr>
        <w:t>.</w:t>
      </w:r>
    </w:p>
    <w:p w:rsidR="00C20DB8" w:rsidRPr="00A1149C" w:rsidRDefault="00C20DB8" w:rsidP="000C26E4">
      <w:pPr>
        <w:pStyle w:val="ListParagraph"/>
        <w:numPr>
          <w:ilvl w:val="0"/>
          <w:numId w:val="21"/>
        </w:numPr>
        <w:shd w:val="clear" w:color="auto" w:fill="FFFFFF"/>
        <w:spacing w:after="0"/>
        <w:rPr>
          <w:rFonts w:cs="Arial"/>
        </w:rPr>
      </w:pPr>
      <w:r w:rsidRPr="00A1149C">
        <w:rPr>
          <w:rFonts w:cs="Arial"/>
        </w:rPr>
        <w:t>Ensur</w:t>
      </w:r>
      <w:r w:rsidR="009F503D">
        <w:rPr>
          <w:rFonts w:cs="Arial"/>
        </w:rPr>
        <w:t>ing</w:t>
      </w:r>
      <w:r w:rsidRPr="00A1149C">
        <w:rPr>
          <w:rFonts w:cs="Arial"/>
        </w:rPr>
        <w:t xml:space="preserve"> that our Safeguarding Training Progra</w:t>
      </w:r>
      <w:r w:rsidR="009519CE" w:rsidRPr="00A1149C">
        <w:rPr>
          <w:rFonts w:cs="Arial"/>
        </w:rPr>
        <w:t xml:space="preserve">mme continues to meet the needs of </w:t>
      </w:r>
      <w:proofErr w:type="gramStart"/>
      <w:r w:rsidR="009519CE" w:rsidRPr="00A1149C">
        <w:rPr>
          <w:rFonts w:cs="Arial"/>
        </w:rPr>
        <w:t xml:space="preserve">staff </w:t>
      </w:r>
      <w:r w:rsidR="009F503D">
        <w:rPr>
          <w:rFonts w:cs="Arial"/>
        </w:rPr>
        <w:t>,</w:t>
      </w:r>
      <w:proofErr w:type="gramEnd"/>
      <w:r w:rsidRPr="00A1149C">
        <w:rPr>
          <w:rFonts w:cs="Arial"/>
        </w:rPr>
        <w:t xml:space="preserve"> is kept up to date </w:t>
      </w:r>
      <w:r w:rsidR="009F503D">
        <w:rPr>
          <w:rFonts w:cs="Arial"/>
        </w:rPr>
        <w:t xml:space="preserve">and </w:t>
      </w:r>
      <w:r w:rsidRPr="00A1149C">
        <w:rPr>
          <w:rFonts w:cs="Arial"/>
        </w:rPr>
        <w:t>evaluated.</w:t>
      </w:r>
    </w:p>
    <w:p w:rsidR="00C20DB8" w:rsidRPr="00A1149C" w:rsidRDefault="00655665" w:rsidP="00354373">
      <w:pPr>
        <w:pStyle w:val="ListParagraph"/>
        <w:numPr>
          <w:ilvl w:val="0"/>
          <w:numId w:val="21"/>
        </w:numPr>
        <w:shd w:val="clear" w:color="auto" w:fill="FFFFFF"/>
        <w:spacing w:after="0"/>
        <w:rPr>
          <w:rFonts w:cs="Arial"/>
        </w:rPr>
      </w:pPr>
      <w:r w:rsidRPr="00A1149C">
        <w:rPr>
          <w:rFonts w:cs="Arial"/>
        </w:rPr>
        <w:t>Ensur</w:t>
      </w:r>
      <w:r w:rsidR="009F503D">
        <w:rPr>
          <w:rFonts w:cs="Arial"/>
        </w:rPr>
        <w:t>ing</w:t>
      </w:r>
      <w:r w:rsidRPr="00A1149C">
        <w:rPr>
          <w:rFonts w:cs="Arial"/>
        </w:rPr>
        <w:t xml:space="preserve"> that departmental safeguarding policy and procedures align with the corporate policy and procedures and introduc</w:t>
      </w:r>
      <w:r w:rsidR="009F503D">
        <w:rPr>
          <w:rFonts w:cs="Arial"/>
        </w:rPr>
        <w:t xml:space="preserve">tion of </w:t>
      </w:r>
      <w:r w:rsidRPr="00A1149C">
        <w:rPr>
          <w:rFonts w:cs="Arial"/>
        </w:rPr>
        <w:t>a central reporting system.</w:t>
      </w:r>
    </w:p>
    <w:p w:rsidR="00655665" w:rsidRPr="00A1149C" w:rsidRDefault="00655665" w:rsidP="00354373">
      <w:pPr>
        <w:pStyle w:val="ListParagraph"/>
        <w:numPr>
          <w:ilvl w:val="0"/>
          <w:numId w:val="21"/>
        </w:numPr>
        <w:shd w:val="clear" w:color="auto" w:fill="FFFFFF"/>
        <w:spacing w:after="0"/>
        <w:rPr>
          <w:rFonts w:cs="Arial"/>
        </w:rPr>
      </w:pPr>
      <w:r w:rsidRPr="00A1149C">
        <w:rPr>
          <w:rFonts w:cs="Arial"/>
        </w:rPr>
        <w:t>Develop</w:t>
      </w:r>
      <w:r w:rsidR="009F503D">
        <w:rPr>
          <w:rFonts w:cs="Arial"/>
        </w:rPr>
        <w:t>ing</w:t>
      </w:r>
      <w:r w:rsidRPr="00A1149C">
        <w:rPr>
          <w:rFonts w:cs="Arial"/>
        </w:rPr>
        <w:t xml:space="preserve"> a Safeguarding Communication Strategy that delivers key Safeguarding messages throughout the year (to staff and local residents) and to ensure </w:t>
      </w:r>
      <w:r w:rsidR="008F2470" w:rsidRPr="00A1149C">
        <w:rPr>
          <w:rFonts w:cs="Arial"/>
        </w:rPr>
        <w:t xml:space="preserve">that relevant </w:t>
      </w:r>
      <w:r w:rsidRPr="00A1149C">
        <w:rPr>
          <w:rFonts w:cs="Arial"/>
        </w:rPr>
        <w:t>information is provided in a child friendly format.</w:t>
      </w:r>
    </w:p>
    <w:p w:rsidR="00655665" w:rsidRPr="00A1149C" w:rsidRDefault="009F503D" w:rsidP="00354373">
      <w:pPr>
        <w:pStyle w:val="ListParagraph"/>
        <w:numPr>
          <w:ilvl w:val="0"/>
          <w:numId w:val="21"/>
        </w:numPr>
        <w:shd w:val="clear" w:color="auto" w:fill="FFFFFF"/>
        <w:spacing w:after="0"/>
        <w:rPr>
          <w:rFonts w:cs="Arial"/>
        </w:rPr>
      </w:pPr>
      <w:r>
        <w:rPr>
          <w:rFonts w:cs="Arial"/>
        </w:rPr>
        <w:t>E</w:t>
      </w:r>
      <w:r w:rsidR="00655665" w:rsidRPr="00A1149C">
        <w:rPr>
          <w:rFonts w:cs="Arial"/>
        </w:rPr>
        <w:t>nsur</w:t>
      </w:r>
      <w:r>
        <w:rPr>
          <w:rFonts w:cs="Arial"/>
        </w:rPr>
        <w:t>ing</w:t>
      </w:r>
      <w:r w:rsidR="00655665" w:rsidRPr="00A1149C">
        <w:rPr>
          <w:rFonts w:cs="Arial"/>
        </w:rPr>
        <w:t xml:space="preserve"> that there is effective and integra</w:t>
      </w:r>
      <w:r w:rsidR="008F2470" w:rsidRPr="00A1149C">
        <w:rPr>
          <w:rFonts w:cs="Arial"/>
        </w:rPr>
        <w:t xml:space="preserve">ted working with the </w:t>
      </w:r>
      <w:r w:rsidR="009519CE" w:rsidRPr="00A1149C">
        <w:rPr>
          <w:rFonts w:cs="Arial"/>
        </w:rPr>
        <w:t xml:space="preserve">Oxford </w:t>
      </w:r>
      <w:r w:rsidR="008F2470" w:rsidRPr="00A1149C">
        <w:rPr>
          <w:rFonts w:cs="Arial"/>
        </w:rPr>
        <w:t>Community S</w:t>
      </w:r>
      <w:r w:rsidR="00655665" w:rsidRPr="00A1149C">
        <w:rPr>
          <w:rFonts w:cs="Arial"/>
        </w:rPr>
        <w:t>afety Partnership Strategies and Plans.</w:t>
      </w:r>
    </w:p>
    <w:p w:rsidR="00655665" w:rsidRPr="00A1149C" w:rsidRDefault="009F503D" w:rsidP="00354373">
      <w:pPr>
        <w:pStyle w:val="ListParagraph"/>
        <w:numPr>
          <w:ilvl w:val="0"/>
          <w:numId w:val="21"/>
        </w:numPr>
        <w:shd w:val="clear" w:color="auto" w:fill="FFFFFF"/>
        <w:spacing w:after="0"/>
        <w:rPr>
          <w:rFonts w:cs="Arial"/>
        </w:rPr>
      </w:pPr>
      <w:r>
        <w:rPr>
          <w:rFonts w:cs="Arial"/>
        </w:rPr>
        <w:t>R</w:t>
      </w:r>
      <w:r w:rsidR="00655665" w:rsidRPr="00A1149C">
        <w:rPr>
          <w:rFonts w:cs="Arial"/>
        </w:rPr>
        <w:t>eview</w:t>
      </w:r>
      <w:r>
        <w:rPr>
          <w:rFonts w:cs="Arial"/>
        </w:rPr>
        <w:t>ing</w:t>
      </w:r>
      <w:r w:rsidR="00655665" w:rsidRPr="00A1149C">
        <w:rPr>
          <w:rFonts w:cs="Arial"/>
        </w:rPr>
        <w:t xml:space="preserve"> procurement and grant processes to ensure that they are compliant with safeguarding requirements.</w:t>
      </w:r>
    </w:p>
    <w:p w:rsidR="00655665" w:rsidRPr="00A1149C" w:rsidRDefault="009F503D" w:rsidP="00354373">
      <w:pPr>
        <w:pStyle w:val="ListParagraph"/>
        <w:numPr>
          <w:ilvl w:val="0"/>
          <w:numId w:val="21"/>
        </w:numPr>
        <w:shd w:val="clear" w:color="auto" w:fill="FFFFFF"/>
        <w:spacing w:after="0"/>
        <w:rPr>
          <w:rFonts w:cs="Arial"/>
        </w:rPr>
      </w:pPr>
      <w:r>
        <w:rPr>
          <w:rFonts w:cs="Arial"/>
        </w:rPr>
        <w:t>A</w:t>
      </w:r>
      <w:r w:rsidR="00655665" w:rsidRPr="00A1149C">
        <w:rPr>
          <w:rFonts w:cs="Arial"/>
        </w:rPr>
        <w:t>gree</w:t>
      </w:r>
      <w:r>
        <w:rPr>
          <w:rFonts w:cs="Arial"/>
        </w:rPr>
        <w:t>ing</w:t>
      </w:r>
      <w:r w:rsidR="00655665" w:rsidRPr="00A1149C">
        <w:rPr>
          <w:rFonts w:cs="Arial"/>
        </w:rPr>
        <w:t xml:space="preserve"> and prioritis</w:t>
      </w:r>
      <w:r>
        <w:rPr>
          <w:rFonts w:cs="Arial"/>
        </w:rPr>
        <w:t>ing</w:t>
      </w:r>
      <w:r w:rsidR="00655665" w:rsidRPr="00A1149C">
        <w:rPr>
          <w:rFonts w:cs="Arial"/>
        </w:rPr>
        <w:t xml:space="preserve"> which </w:t>
      </w:r>
      <w:r w:rsidR="009519CE" w:rsidRPr="00A1149C">
        <w:rPr>
          <w:rFonts w:cs="Arial"/>
        </w:rPr>
        <w:t xml:space="preserve">safeguarding </w:t>
      </w:r>
      <w:r w:rsidR="00655665" w:rsidRPr="00A1149C">
        <w:rPr>
          <w:rFonts w:cs="Arial"/>
        </w:rPr>
        <w:t xml:space="preserve">assessment tools are to be used </w:t>
      </w:r>
      <w:r w:rsidR="009519CE" w:rsidRPr="00A1149C">
        <w:rPr>
          <w:rFonts w:cs="Arial"/>
        </w:rPr>
        <w:t xml:space="preserve">(for example Child Sexual Exploitation and Neglect) </w:t>
      </w:r>
      <w:r w:rsidR="00655665" w:rsidRPr="00A1149C">
        <w:rPr>
          <w:rFonts w:cs="Arial"/>
        </w:rPr>
        <w:t>and</w:t>
      </w:r>
      <w:r w:rsidR="009519CE" w:rsidRPr="00A1149C">
        <w:rPr>
          <w:rFonts w:cs="Arial"/>
        </w:rPr>
        <w:t xml:space="preserve"> to</w:t>
      </w:r>
      <w:r w:rsidR="00655665" w:rsidRPr="00A1149C">
        <w:rPr>
          <w:rFonts w:cs="Arial"/>
        </w:rPr>
        <w:t xml:space="preserve"> enable staff to use the</w:t>
      </w:r>
      <w:r w:rsidR="008F2470" w:rsidRPr="00A1149C">
        <w:rPr>
          <w:rFonts w:cs="Arial"/>
        </w:rPr>
        <w:t>m</w:t>
      </w:r>
      <w:r w:rsidR="00655665" w:rsidRPr="00A1149C">
        <w:rPr>
          <w:rFonts w:cs="Arial"/>
        </w:rPr>
        <w:t xml:space="preserve"> effectively.</w:t>
      </w:r>
    </w:p>
    <w:p w:rsidR="00655665" w:rsidRPr="00A1149C" w:rsidRDefault="0079518A" w:rsidP="00354373">
      <w:pPr>
        <w:pStyle w:val="ListParagraph"/>
        <w:numPr>
          <w:ilvl w:val="0"/>
          <w:numId w:val="21"/>
        </w:numPr>
        <w:shd w:val="clear" w:color="auto" w:fill="FFFFFF"/>
        <w:spacing w:after="0"/>
        <w:rPr>
          <w:rFonts w:cs="Arial"/>
        </w:rPr>
      </w:pPr>
      <w:r>
        <w:rPr>
          <w:rFonts w:cs="Arial"/>
        </w:rPr>
        <w:t>E</w:t>
      </w:r>
      <w:r w:rsidR="00655665" w:rsidRPr="00A1149C">
        <w:rPr>
          <w:rFonts w:cs="Arial"/>
        </w:rPr>
        <w:t>nsur</w:t>
      </w:r>
      <w:r>
        <w:rPr>
          <w:rFonts w:cs="Arial"/>
        </w:rPr>
        <w:t>ing</w:t>
      </w:r>
      <w:r w:rsidR="00655665" w:rsidRPr="00A1149C">
        <w:rPr>
          <w:rFonts w:cs="Arial"/>
        </w:rPr>
        <w:t xml:space="preserve"> volunteers are provided with opportunities to have </w:t>
      </w:r>
      <w:r w:rsidR="009519CE" w:rsidRPr="00A1149C">
        <w:rPr>
          <w:rFonts w:cs="Arial"/>
        </w:rPr>
        <w:t xml:space="preserve">the </w:t>
      </w:r>
      <w:r w:rsidR="00655665" w:rsidRPr="00A1149C">
        <w:rPr>
          <w:rFonts w:cs="Arial"/>
        </w:rPr>
        <w:t xml:space="preserve">safeguarding training they require. </w:t>
      </w:r>
    </w:p>
    <w:p w:rsidR="00C20DB8" w:rsidRPr="00A1149C" w:rsidRDefault="00C20DB8" w:rsidP="000C26E4">
      <w:pPr>
        <w:pStyle w:val="ListParagraph"/>
        <w:numPr>
          <w:ilvl w:val="0"/>
          <w:numId w:val="0"/>
        </w:numPr>
        <w:shd w:val="clear" w:color="auto" w:fill="FFFFFF"/>
        <w:spacing w:after="0"/>
        <w:ind w:left="644"/>
        <w:rPr>
          <w:rFonts w:cs="Arial"/>
        </w:rPr>
      </w:pPr>
    </w:p>
    <w:p w:rsidR="00514C02" w:rsidRPr="00A1149C" w:rsidRDefault="005A4F5E" w:rsidP="000C26E4">
      <w:pPr>
        <w:spacing w:after="0"/>
        <w:ind w:left="426" w:hanging="426"/>
        <w:outlineLvl w:val="0"/>
        <w:rPr>
          <w:rFonts w:cs="Arial"/>
          <w:b/>
        </w:rPr>
      </w:pPr>
      <w:r w:rsidRPr="00A1149C">
        <w:rPr>
          <w:rFonts w:cs="Arial"/>
          <w:b/>
        </w:rPr>
        <w:t>Risks and C</w:t>
      </w:r>
      <w:r w:rsidR="00514C02" w:rsidRPr="00A1149C">
        <w:rPr>
          <w:rFonts w:cs="Arial"/>
          <w:b/>
        </w:rPr>
        <w:t>hallenges</w:t>
      </w:r>
    </w:p>
    <w:p w:rsidR="008F2470" w:rsidRPr="00A1149C" w:rsidRDefault="008F2470" w:rsidP="000C26E4">
      <w:pPr>
        <w:spacing w:after="0"/>
        <w:ind w:left="426" w:hanging="426"/>
        <w:outlineLvl w:val="0"/>
        <w:rPr>
          <w:rFonts w:cs="Arial"/>
          <w:b/>
        </w:rPr>
      </w:pPr>
    </w:p>
    <w:p w:rsidR="00BA4FCF" w:rsidRPr="00354373" w:rsidRDefault="00BA4FCF" w:rsidP="00354373">
      <w:pPr>
        <w:pStyle w:val="bParagraphtext"/>
      </w:pPr>
      <w:r w:rsidRPr="00354373">
        <w:t>Due to the fast pace of change, we will need to ensure</w:t>
      </w:r>
      <w:r w:rsidR="00984347" w:rsidRPr="00354373">
        <w:t>:</w:t>
      </w:r>
    </w:p>
    <w:p w:rsidR="002E5F8B" w:rsidRPr="00A1149C" w:rsidRDefault="002E5F8B" w:rsidP="002E5F8B">
      <w:pPr>
        <w:pStyle w:val="ListParagraph"/>
        <w:numPr>
          <w:ilvl w:val="0"/>
          <w:numId w:val="0"/>
        </w:numPr>
        <w:spacing w:after="0"/>
        <w:ind w:left="644"/>
        <w:rPr>
          <w:rFonts w:cs="Arial"/>
        </w:rPr>
      </w:pPr>
    </w:p>
    <w:p w:rsidR="00514C02" w:rsidRPr="00A1149C" w:rsidRDefault="00984347" w:rsidP="000C26E4">
      <w:pPr>
        <w:pStyle w:val="ListParagraph"/>
        <w:numPr>
          <w:ilvl w:val="0"/>
          <w:numId w:val="9"/>
        </w:numPr>
        <w:spacing w:after="0"/>
        <w:rPr>
          <w:rFonts w:cs="Arial"/>
        </w:rPr>
      </w:pPr>
      <w:r w:rsidRPr="00A1149C">
        <w:rPr>
          <w:rFonts w:cs="Arial"/>
        </w:rPr>
        <w:t>C</w:t>
      </w:r>
      <w:r w:rsidR="005A4F5E" w:rsidRPr="00A1149C">
        <w:rPr>
          <w:rFonts w:cs="Arial"/>
        </w:rPr>
        <w:t>hanges</w:t>
      </w:r>
      <w:r w:rsidR="00514C02" w:rsidRPr="00A1149C">
        <w:rPr>
          <w:rFonts w:cs="Arial"/>
        </w:rPr>
        <w:t xml:space="preserve"> </w:t>
      </w:r>
      <w:r w:rsidRPr="00A1149C">
        <w:rPr>
          <w:rFonts w:cs="Arial"/>
        </w:rPr>
        <w:t xml:space="preserve">to services, policies and procedures </w:t>
      </w:r>
      <w:r w:rsidR="00514C02" w:rsidRPr="00A1149C">
        <w:rPr>
          <w:rFonts w:cs="Arial"/>
        </w:rPr>
        <w:t>are well communicated to staff</w:t>
      </w:r>
      <w:r w:rsidR="00BA4FCF" w:rsidRPr="00A1149C">
        <w:rPr>
          <w:rFonts w:cs="Arial"/>
        </w:rPr>
        <w:t xml:space="preserve"> across the organisation</w:t>
      </w:r>
      <w:r w:rsidR="005A4F5E" w:rsidRPr="00A1149C">
        <w:rPr>
          <w:rFonts w:cs="Arial"/>
        </w:rPr>
        <w:t xml:space="preserve"> </w:t>
      </w:r>
    </w:p>
    <w:p w:rsidR="00BA4FCF" w:rsidRPr="00A1149C" w:rsidRDefault="00984347" w:rsidP="000C26E4">
      <w:pPr>
        <w:pStyle w:val="ListParagraph"/>
        <w:numPr>
          <w:ilvl w:val="0"/>
          <w:numId w:val="9"/>
        </w:numPr>
        <w:spacing w:after="0"/>
        <w:rPr>
          <w:rFonts w:cs="Arial"/>
        </w:rPr>
      </w:pPr>
      <w:proofErr w:type="gramStart"/>
      <w:r w:rsidRPr="00A1149C">
        <w:rPr>
          <w:rFonts w:cs="Arial"/>
        </w:rPr>
        <w:t>S</w:t>
      </w:r>
      <w:r w:rsidR="008F2470" w:rsidRPr="00A1149C">
        <w:rPr>
          <w:rFonts w:cs="Arial"/>
        </w:rPr>
        <w:t>taff</w:t>
      </w:r>
      <w:r w:rsidR="005A4F5E" w:rsidRPr="00A1149C">
        <w:rPr>
          <w:rFonts w:cs="Arial"/>
        </w:rPr>
        <w:t xml:space="preserve"> </w:t>
      </w:r>
      <w:r w:rsidR="00514C02" w:rsidRPr="00A1149C">
        <w:rPr>
          <w:rFonts w:cs="Arial"/>
        </w:rPr>
        <w:t>are</w:t>
      </w:r>
      <w:proofErr w:type="gramEnd"/>
      <w:r w:rsidR="00514C02" w:rsidRPr="00A1149C">
        <w:rPr>
          <w:rFonts w:cs="Arial"/>
        </w:rPr>
        <w:t xml:space="preserve"> able to use the new assessment tools</w:t>
      </w:r>
      <w:r w:rsidRPr="00A1149C">
        <w:rPr>
          <w:rFonts w:cs="Arial"/>
        </w:rPr>
        <w:t xml:space="preserve"> when required</w:t>
      </w:r>
      <w:r w:rsidR="008F2470" w:rsidRPr="00A1149C">
        <w:rPr>
          <w:rFonts w:cs="Arial"/>
        </w:rPr>
        <w:t>.</w:t>
      </w:r>
    </w:p>
    <w:p w:rsidR="00514C02" w:rsidRPr="00A1149C" w:rsidRDefault="00984347" w:rsidP="000C26E4">
      <w:pPr>
        <w:pStyle w:val="ListParagraph"/>
        <w:numPr>
          <w:ilvl w:val="0"/>
          <w:numId w:val="9"/>
        </w:numPr>
        <w:spacing w:after="0"/>
        <w:rPr>
          <w:rFonts w:cs="Arial"/>
        </w:rPr>
      </w:pPr>
      <w:r w:rsidRPr="00A1149C">
        <w:rPr>
          <w:rFonts w:cs="Arial"/>
        </w:rPr>
        <w:t xml:space="preserve">The </w:t>
      </w:r>
      <w:r w:rsidR="00514C02" w:rsidRPr="00A1149C">
        <w:rPr>
          <w:rFonts w:cs="Arial"/>
        </w:rPr>
        <w:t xml:space="preserve">sharing </w:t>
      </w:r>
      <w:r w:rsidRPr="00A1149C">
        <w:rPr>
          <w:rFonts w:cs="Arial"/>
        </w:rPr>
        <w:t xml:space="preserve">of </w:t>
      </w:r>
      <w:r w:rsidR="00514C02" w:rsidRPr="00A1149C">
        <w:rPr>
          <w:rFonts w:cs="Arial"/>
        </w:rPr>
        <w:t xml:space="preserve">safeguarding information is not </w:t>
      </w:r>
      <w:r w:rsidR="0079518A">
        <w:rPr>
          <w:rFonts w:cs="Arial"/>
        </w:rPr>
        <w:t xml:space="preserve">impacted </w:t>
      </w:r>
      <w:r w:rsidR="005A4F5E" w:rsidRPr="00A1149C">
        <w:rPr>
          <w:rFonts w:cs="Arial"/>
        </w:rPr>
        <w:t xml:space="preserve">by the </w:t>
      </w:r>
      <w:r w:rsidR="009519CE" w:rsidRPr="00A1149C">
        <w:rPr>
          <w:rFonts w:cs="Arial"/>
        </w:rPr>
        <w:t>changes taking place in Oxfordshire County Council</w:t>
      </w:r>
      <w:r w:rsidR="0079518A">
        <w:rPr>
          <w:rFonts w:cs="Arial"/>
        </w:rPr>
        <w:t>’s</w:t>
      </w:r>
      <w:r w:rsidR="009519CE" w:rsidRPr="00A1149C">
        <w:rPr>
          <w:rFonts w:cs="Arial"/>
        </w:rPr>
        <w:t xml:space="preserve"> </w:t>
      </w:r>
      <w:r w:rsidR="008F2470" w:rsidRPr="00A1149C">
        <w:rPr>
          <w:rFonts w:cs="Arial"/>
        </w:rPr>
        <w:t>service</w:t>
      </w:r>
      <w:r w:rsidR="0079518A">
        <w:rPr>
          <w:rFonts w:cs="Arial"/>
        </w:rPr>
        <w:t xml:space="preserve"> delivery</w:t>
      </w:r>
      <w:r w:rsidR="008F2470" w:rsidRPr="00A1149C">
        <w:rPr>
          <w:rFonts w:cs="Arial"/>
        </w:rPr>
        <w:t>.</w:t>
      </w:r>
    </w:p>
    <w:p w:rsidR="00BA4FCF" w:rsidRPr="00A1149C" w:rsidRDefault="00BA4FCF" w:rsidP="000C26E4">
      <w:pPr>
        <w:pStyle w:val="ListParagraph"/>
        <w:numPr>
          <w:ilvl w:val="0"/>
          <w:numId w:val="9"/>
        </w:numPr>
        <w:spacing w:after="0"/>
        <w:rPr>
          <w:rFonts w:cs="Arial"/>
        </w:rPr>
      </w:pPr>
      <w:r w:rsidRPr="00A1149C">
        <w:rPr>
          <w:rFonts w:cs="Arial"/>
        </w:rPr>
        <w:t xml:space="preserve">IT structure/support </w:t>
      </w:r>
      <w:r w:rsidR="00984347" w:rsidRPr="00A1149C">
        <w:rPr>
          <w:rFonts w:cs="Arial"/>
        </w:rPr>
        <w:t>is</w:t>
      </w:r>
      <w:r w:rsidRPr="00A1149C">
        <w:rPr>
          <w:rFonts w:cs="Arial"/>
        </w:rPr>
        <w:t xml:space="preserve"> able to support </w:t>
      </w:r>
      <w:r w:rsidR="009519CE" w:rsidRPr="00A1149C">
        <w:rPr>
          <w:rFonts w:cs="Arial"/>
        </w:rPr>
        <w:t>the i</w:t>
      </w:r>
      <w:r w:rsidRPr="00A1149C">
        <w:rPr>
          <w:rFonts w:cs="Arial"/>
        </w:rPr>
        <w:t>mplement</w:t>
      </w:r>
      <w:r w:rsidR="009519CE" w:rsidRPr="00A1149C">
        <w:rPr>
          <w:rFonts w:cs="Arial"/>
        </w:rPr>
        <w:t>ation of</w:t>
      </w:r>
      <w:r w:rsidRPr="00A1149C">
        <w:rPr>
          <w:rFonts w:cs="Arial"/>
        </w:rPr>
        <w:t xml:space="preserve"> a central recording system without additional cost.</w:t>
      </w:r>
    </w:p>
    <w:p w:rsidR="008F2470" w:rsidRPr="00A1149C" w:rsidRDefault="008F2470" w:rsidP="008F2470">
      <w:pPr>
        <w:pStyle w:val="ListParagraph"/>
        <w:numPr>
          <w:ilvl w:val="0"/>
          <w:numId w:val="0"/>
        </w:numPr>
        <w:spacing w:after="0"/>
        <w:ind w:left="720"/>
        <w:rPr>
          <w:rFonts w:cs="Arial"/>
        </w:rPr>
      </w:pPr>
    </w:p>
    <w:p w:rsidR="00514C02" w:rsidRPr="00A1149C" w:rsidRDefault="009519CE" w:rsidP="000C26E4">
      <w:pPr>
        <w:pStyle w:val="Heading1"/>
        <w:spacing w:before="0" w:after="0"/>
        <w:rPr>
          <w:rFonts w:cs="Arial"/>
        </w:rPr>
      </w:pPr>
      <w:r w:rsidRPr="00A1149C">
        <w:rPr>
          <w:rFonts w:cs="Arial"/>
        </w:rPr>
        <w:t>F</w:t>
      </w:r>
      <w:r w:rsidR="00514C02" w:rsidRPr="00A1149C">
        <w:rPr>
          <w:rFonts w:cs="Arial"/>
        </w:rPr>
        <w:t>inancial implications</w:t>
      </w:r>
    </w:p>
    <w:p w:rsidR="008F2470" w:rsidRPr="00A1149C" w:rsidRDefault="008F2470" w:rsidP="008F2470">
      <w:pPr>
        <w:rPr>
          <w:rFonts w:cs="Arial"/>
        </w:rPr>
      </w:pPr>
    </w:p>
    <w:p w:rsidR="00984347" w:rsidRPr="00A1149C" w:rsidRDefault="00514C02" w:rsidP="00354373">
      <w:pPr>
        <w:pStyle w:val="bParagraphtext"/>
      </w:pPr>
      <w:r w:rsidRPr="00A1149C">
        <w:t>The Council has committed</w:t>
      </w:r>
      <w:r w:rsidR="001D0180" w:rsidRPr="00A1149C">
        <w:t xml:space="preserve"> within the budget </w:t>
      </w:r>
      <w:r w:rsidRPr="00A1149C">
        <w:t>to</w:t>
      </w:r>
      <w:r w:rsidR="008F2470" w:rsidRPr="00A1149C">
        <w:t xml:space="preserve"> make an annual contribution towards </w:t>
      </w:r>
      <w:r w:rsidRPr="00A1149C">
        <w:t xml:space="preserve">the running costs of the OSCB </w:t>
      </w:r>
      <w:r w:rsidR="00984347" w:rsidRPr="00A1149C">
        <w:t xml:space="preserve">of £10,000 </w:t>
      </w:r>
      <w:r w:rsidRPr="00A1149C">
        <w:t xml:space="preserve">and </w:t>
      </w:r>
      <w:r w:rsidR="008F2470" w:rsidRPr="00A1149C">
        <w:t xml:space="preserve">the </w:t>
      </w:r>
      <w:r w:rsidR="005A4F5E" w:rsidRPr="00A1149C">
        <w:t>OSAB of £</w:t>
      </w:r>
      <w:r w:rsidR="00984347" w:rsidRPr="00A1149C">
        <w:t>1</w:t>
      </w:r>
      <w:r w:rsidRPr="00A1149C">
        <w:t>0,000</w:t>
      </w:r>
      <w:r w:rsidR="00984347" w:rsidRPr="00A1149C">
        <w:t>.</w:t>
      </w:r>
      <w:r w:rsidR="005D6BD6" w:rsidRPr="00A1149C">
        <w:t xml:space="preserve"> </w:t>
      </w:r>
      <w:r w:rsidR="00984347" w:rsidRPr="00A1149C">
        <w:t xml:space="preserve">The City Council has two active trainers who contribute to the OSCB training pool. </w:t>
      </w:r>
    </w:p>
    <w:p w:rsidR="008237A8" w:rsidRPr="00A1149C" w:rsidRDefault="008237A8" w:rsidP="000C26E4">
      <w:pPr>
        <w:pStyle w:val="Heading1"/>
        <w:spacing w:before="0" w:after="0"/>
        <w:rPr>
          <w:rFonts w:cs="Arial"/>
        </w:rPr>
      </w:pPr>
    </w:p>
    <w:p w:rsidR="00514C02" w:rsidRPr="00A1149C" w:rsidRDefault="00514C02" w:rsidP="000C26E4">
      <w:pPr>
        <w:pStyle w:val="Heading1"/>
        <w:spacing w:before="0" w:after="0"/>
        <w:rPr>
          <w:rFonts w:cs="Arial"/>
        </w:rPr>
      </w:pPr>
      <w:r w:rsidRPr="00A1149C">
        <w:rPr>
          <w:rFonts w:cs="Arial"/>
        </w:rPr>
        <w:t>Legal issues</w:t>
      </w:r>
    </w:p>
    <w:p w:rsidR="008F2470" w:rsidRPr="00A1149C" w:rsidRDefault="008F2470" w:rsidP="008F2470">
      <w:pPr>
        <w:rPr>
          <w:rFonts w:cs="Arial"/>
        </w:rPr>
      </w:pPr>
    </w:p>
    <w:p w:rsidR="009519CE" w:rsidRPr="00A1149C" w:rsidRDefault="009519CE" w:rsidP="00354373">
      <w:pPr>
        <w:pStyle w:val="bParagraphtext"/>
      </w:pPr>
      <w:r w:rsidRPr="00A1149C">
        <w:t>There are no legal implications arising from the report.</w:t>
      </w:r>
    </w:p>
    <w:p w:rsidR="008F2470" w:rsidRPr="00A1149C" w:rsidRDefault="008F2470" w:rsidP="008F2470">
      <w:pPr>
        <w:pStyle w:val="ListParagraph"/>
        <w:numPr>
          <w:ilvl w:val="0"/>
          <w:numId w:val="0"/>
        </w:numPr>
        <w:spacing w:after="0"/>
        <w:ind w:left="720"/>
        <w:rPr>
          <w:rFonts w:cs="Arial"/>
        </w:rPr>
      </w:pPr>
    </w:p>
    <w:p w:rsidR="00514C02" w:rsidRPr="00A1149C" w:rsidRDefault="00514C02" w:rsidP="000C26E4">
      <w:pPr>
        <w:pStyle w:val="Heading1"/>
        <w:spacing w:before="0" w:after="0"/>
        <w:rPr>
          <w:rFonts w:cs="Arial"/>
        </w:rPr>
      </w:pPr>
      <w:r w:rsidRPr="00A1149C">
        <w:rPr>
          <w:rFonts w:cs="Arial"/>
        </w:rPr>
        <w:t xml:space="preserve">Equalities impact </w:t>
      </w:r>
    </w:p>
    <w:p w:rsidR="008F2470" w:rsidRPr="00A1149C" w:rsidRDefault="008F2470" w:rsidP="008F2470">
      <w:pPr>
        <w:rPr>
          <w:rFonts w:cs="Arial"/>
        </w:rPr>
      </w:pPr>
    </w:p>
    <w:p w:rsidR="00514C02" w:rsidRPr="00A1149C" w:rsidRDefault="00514C02" w:rsidP="00354373">
      <w:pPr>
        <w:pStyle w:val="bParagraphtext"/>
      </w:pPr>
      <w:r w:rsidRPr="00A1149C">
        <w:t>There are no proposed changes to Oxford City Council</w:t>
      </w:r>
      <w:r w:rsidR="00CB0E5C">
        <w:t>’</w:t>
      </w:r>
      <w:r w:rsidRPr="00A1149C">
        <w:t>s Safeguarding Policy.</w:t>
      </w:r>
    </w:p>
    <w:p w:rsidR="00514C02" w:rsidRPr="00A1149C" w:rsidRDefault="00514C02" w:rsidP="00514C02">
      <w:pPr>
        <w:pStyle w:val="ListParagraph"/>
        <w:numPr>
          <w:ilvl w:val="0"/>
          <w:numId w:val="0"/>
        </w:numPr>
        <w:ind w:left="426"/>
        <w:rPr>
          <w:rFonts w:cs="Arial"/>
        </w:rPr>
      </w:pPr>
    </w:p>
    <w:p w:rsidR="00514C02" w:rsidRDefault="00514C02" w:rsidP="00514C02">
      <w:pPr>
        <w:rPr>
          <w:rFonts w:cs="Arial"/>
        </w:rPr>
      </w:pPr>
    </w:p>
    <w:p w:rsidR="00354373" w:rsidRDefault="00354373" w:rsidP="00514C02">
      <w:pPr>
        <w:rPr>
          <w:rFonts w:cs="Arial"/>
        </w:rPr>
      </w:pPr>
    </w:p>
    <w:p w:rsidR="00354373" w:rsidRPr="00A1149C" w:rsidRDefault="00354373" w:rsidP="00514C02">
      <w:pPr>
        <w:rPr>
          <w:rFonts w:cs="Ari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514C02" w:rsidRPr="00A1149C" w:rsidTr="00514C02">
        <w:trPr>
          <w:cantSplit/>
          <w:trHeight w:val="396"/>
        </w:trPr>
        <w:tc>
          <w:tcPr>
            <w:tcW w:w="3969" w:type="dxa"/>
            <w:tcBorders>
              <w:top w:val="single" w:sz="8" w:space="0" w:color="000000"/>
              <w:left w:val="single" w:sz="8" w:space="0" w:color="000000"/>
              <w:bottom w:val="single" w:sz="8" w:space="0" w:color="000000"/>
              <w:right w:val="nil"/>
            </w:tcBorders>
            <w:hideMark/>
          </w:tcPr>
          <w:p w:rsidR="00514C02" w:rsidRPr="00A1149C" w:rsidRDefault="00514C02">
            <w:pPr>
              <w:rPr>
                <w:rFonts w:cs="Arial"/>
                <w:b/>
              </w:rPr>
            </w:pPr>
            <w:r w:rsidRPr="00A1149C">
              <w:rPr>
                <w:rFonts w:cs="Arial"/>
                <w:b/>
              </w:rPr>
              <w:t>Report author</w:t>
            </w:r>
          </w:p>
        </w:tc>
        <w:tc>
          <w:tcPr>
            <w:tcW w:w="4962" w:type="dxa"/>
            <w:tcBorders>
              <w:top w:val="single" w:sz="8" w:space="0" w:color="000000"/>
              <w:left w:val="nil"/>
              <w:bottom w:val="single" w:sz="8" w:space="0" w:color="000000"/>
              <w:right w:val="single" w:sz="8" w:space="0" w:color="000000"/>
            </w:tcBorders>
            <w:hideMark/>
          </w:tcPr>
          <w:p w:rsidR="00514C02" w:rsidRPr="00A1149C" w:rsidRDefault="005D6BD6">
            <w:pPr>
              <w:rPr>
                <w:rFonts w:cs="Arial"/>
              </w:rPr>
            </w:pPr>
            <w:r w:rsidRPr="00A1149C">
              <w:rPr>
                <w:rFonts w:cs="Arial"/>
              </w:rPr>
              <w:t>Daniella Granito</w:t>
            </w:r>
          </w:p>
        </w:tc>
      </w:tr>
      <w:tr w:rsidR="00514C02" w:rsidRPr="00A1149C" w:rsidTr="00514C02">
        <w:trPr>
          <w:cantSplit/>
          <w:trHeight w:val="396"/>
        </w:trPr>
        <w:tc>
          <w:tcPr>
            <w:tcW w:w="3969" w:type="dxa"/>
            <w:tcBorders>
              <w:top w:val="single" w:sz="8" w:space="0" w:color="000000"/>
              <w:left w:val="single" w:sz="8" w:space="0" w:color="000000"/>
              <w:bottom w:val="nil"/>
              <w:right w:val="nil"/>
            </w:tcBorders>
            <w:hideMark/>
          </w:tcPr>
          <w:p w:rsidR="00514C02" w:rsidRPr="00A1149C" w:rsidRDefault="00514C02">
            <w:pPr>
              <w:rPr>
                <w:rFonts w:cs="Arial"/>
              </w:rPr>
            </w:pPr>
            <w:r w:rsidRPr="00A1149C">
              <w:rPr>
                <w:rFonts w:cs="Arial"/>
              </w:rPr>
              <w:t>Job title</w:t>
            </w:r>
          </w:p>
        </w:tc>
        <w:tc>
          <w:tcPr>
            <w:tcW w:w="4962" w:type="dxa"/>
            <w:tcBorders>
              <w:top w:val="single" w:sz="8" w:space="0" w:color="000000"/>
              <w:left w:val="nil"/>
              <w:bottom w:val="nil"/>
              <w:right w:val="single" w:sz="8" w:space="0" w:color="000000"/>
            </w:tcBorders>
            <w:hideMark/>
          </w:tcPr>
          <w:p w:rsidR="00514C02" w:rsidRPr="00A1149C" w:rsidRDefault="005D6BD6">
            <w:pPr>
              <w:rPr>
                <w:rFonts w:cs="Arial"/>
              </w:rPr>
            </w:pPr>
            <w:r w:rsidRPr="00A1149C">
              <w:rPr>
                <w:rFonts w:cs="Arial"/>
              </w:rPr>
              <w:t>Safeguarding Coordinator</w:t>
            </w:r>
          </w:p>
        </w:tc>
      </w:tr>
      <w:tr w:rsidR="00514C02" w:rsidRPr="00A1149C" w:rsidTr="00514C02">
        <w:trPr>
          <w:cantSplit/>
          <w:trHeight w:val="396"/>
        </w:trPr>
        <w:tc>
          <w:tcPr>
            <w:tcW w:w="3969" w:type="dxa"/>
            <w:tcBorders>
              <w:top w:val="nil"/>
              <w:left w:val="single" w:sz="8" w:space="0" w:color="000000"/>
              <w:bottom w:val="nil"/>
              <w:right w:val="nil"/>
            </w:tcBorders>
            <w:hideMark/>
          </w:tcPr>
          <w:p w:rsidR="00514C02" w:rsidRPr="00A1149C" w:rsidRDefault="00514C02">
            <w:pPr>
              <w:rPr>
                <w:rFonts w:cs="Arial"/>
              </w:rPr>
            </w:pPr>
            <w:r w:rsidRPr="00A1149C">
              <w:rPr>
                <w:rFonts w:cs="Arial"/>
              </w:rPr>
              <w:t>Service area or department</w:t>
            </w:r>
          </w:p>
        </w:tc>
        <w:tc>
          <w:tcPr>
            <w:tcW w:w="4962" w:type="dxa"/>
            <w:tcBorders>
              <w:top w:val="nil"/>
              <w:left w:val="nil"/>
              <w:bottom w:val="nil"/>
              <w:right w:val="single" w:sz="8" w:space="0" w:color="000000"/>
            </w:tcBorders>
            <w:hideMark/>
          </w:tcPr>
          <w:p w:rsidR="00514C02" w:rsidRPr="00A1149C" w:rsidRDefault="005D6BD6">
            <w:pPr>
              <w:rPr>
                <w:rFonts w:cs="Arial"/>
              </w:rPr>
            </w:pPr>
            <w:r w:rsidRPr="00A1149C">
              <w:rPr>
                <w:rFonts w:cs="Arial"/>
              </w:rPr>
              <w:t>Assistant Chief Executive</w:t>
            </w:r>
          </w:p>
        </w:tc>
      </w:tr>
      <w:tr w:rsidR="00514C02" w:rsidRPr="00A1149C" w:rsidTr="00354373">
        <w:trPr>
          <w:cantSplit/>
          <w:trHeight w:val="396"/>
        </w:trPr>
        <w:tc>
          <w:tcPr>
            <w:tcW w:w="3969" w:type="dxa"/>
            <w:tcBorders>
              <w:top w:val="nil"/>
              <w:left w:val="single" w:sz="8" w:space="0" w:color="000000"/>
              <w:bottom w:val="nil"/>
              <w:right w:val="nil"/>
            </w:tcBorders>
            <w:hideMark/>
          </w:tcPr>
          <w:p w:rsidR="00514C02" w:rsidRPr="00A1149C" w:rsidRDefault="00514C02">
            <w:pPr>
              <w:rPr>
                <w:rFonts w:cs="Arial"/>
              </w:rPr>
            </w:pPr>
            <w:r w:rsidRPr="00A1149C">
              <w:rPr>
                <w:rFonts w:cs="Arial"/>
              </w:rPr>
              <w:t xml:space="preserve">Telephone </w:t>
            </w:r>
          </w:p>
        </w:tc>
        <w:tc>
          <w:tcPr>
            <w:tcW w:w="4962" w:type="dxa"/>
            <w:tcBorders>
              <w:top w:val="nil"/>
              <w:left w:val="nil"/>
              <w:bottom w:val="nil"/>
              <w:right w:val="single" w:sz="8" w:space="0" w:color="000000"/>
            </w:tcBorders>
            <w:hideMark/>
          </w:tcPr>
          <w:p w:rsidR="00514C02" w:rsidRPr="00A1149C" w:rsidRDefault="00514C02">
            <w:pPr>
              <w:rPr>
                <w:rFonts w:cs="Arial"/>
              </w:rPr>
            </w:pPr>
            <w:r w:rsidRPr="00A1149C">
              <w:rPr>
                <w:rFonts w:cs="Arial"/>
              </w:rPr>
              <w:t xml:space="preserve"> </w:t>
            </w:r>
            <w:r w:rsidR="00354373" w:rsidRPr="00354373">
              <w:rPr>
                <w:rFonts w:cs="Arial"/>
              </w:rPr>
              <w:t>07483010758</w:t>
            </w:r>
          </w:p>
        </w:tc>
      </w:tr>
      <w:tr w:rsidR="00514C02" w:rsidRPr="00A1149C" w:rsidTr="00354373">
        <w:trPr>
          <w:cantSplit/>
          <w:trHeight w:val="396"/>
        </w:trPr>
        <w:tc>
          <w:tcPr>
            <w:tcW w:w="3969" w:type="dxa"/>
            <w:tcBorders>
              <w:top w:val="nil"/>
              <w:left w:val="single" w:sz="8" w:space="0" w:color="000000"/>
              <w:bottom w:val="single" w:sz="4" w:space="0" w:color="auto"/>
              <w:right w:val="nil"/>
            </w:tcBorders>
            <w:hideMark/>
          </w:tcPr>
          <w:p w:rsidR="00514C02" w:rsidRPr="00A1149C" w:rsidRDefault="00514C02">
            <w:pPr>
              <w:rPr>
                <w:rFonts w:cs="Arial"/>
              </w:rPr>
            </w:pPr>
            <w:r w:rsidRPr="00A1149C">
              <w:rPr>
                <w:rFonts w:cs="Arial"/>
              </w:rPr>
              <w:t xml:space="preserve">e-mail </w:t>
            </w:r>
          </w:p>
        </w:tc>
        <w:tc>
          <w:tcPr>
            <w:tcW w:w="4962" w:type="dxa"/>
            <w:tcBorders>
              <w:top w:val="nil"/>
              <w:left w:val="nil"/>
              <w:bottom w:val="single" w:sz="4" w:space="0" w:color="auto"/>
              <w:right w:val="single" w:sz="8" w:space="0" w:color="000000"/>
            </w:tcBorders>
            <w:hideMark/>
          </w:tcPr>
          <w:p w:rsidR="00514C02" w:rsidRPr="00A1149C" w:rsidRDefault="005D6BD6">
            <w:pPr>
              <w:rPr>
                <w:rStyle w:val="Hyperlink"/>
                <w:rFonts w:cs="Arial"/>
              </w:rPr>
            </w:pPr>
            <w:r w:rsidRPr="00A1149C">
              <w:rPr>
                <w:rStyle w:val="Hyperlink"/>
                <w:rFonts w:cs="Arial"/>
              </w:rPr>
              <w:t>dgranito@oxford.gov.uk</w:t>
            </w:r>
          </w:p>
        </w:tc>
      </w:tr>
    </w:tbl>
    <w:p w:rsidR="00514C02" w:rsidRPr="00A1149C" w:rsidRDefault="00514C02" w:rsidP="00514C02">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514C02" w:rsidRPr="00A1149C" w:rsidTr="00ED6501">
        <w:tc>
          <w:tcPr>
            <w:tcW w:w="8931" w:type="dxa"/>
            <w:gridSpan w:val="2"/>
            <w:tcBorders>
              <w:top w:val="single" w:sz="4" w:space="0" w:color="auto"/>
              <w:left w:val="single" w:sz="4" w:space="0" w:color="auto"/>
              <w:bottom w:val="single" w:sz="4" w:space="0" w:color="auto"/>
              <w:right w:val="single" w:sz="4" w:space="0" w:color="auto"/>
            </w:tcBorders>
            <w:hideMark/>
          </w:tcPr>
          <w:p w:rsidR="00514C02" w:rsidRPr="00A1149C" w:rsidRDefault="00514C02">
            <w:pPr>
              <w:rPr>
                <w:rFonts w:cs="Arial"/>
              </w:rPr>
            </w:pPr>
            <w:r w:rsidRPr="00A1149C">
              <w:rPr>
                <w:rStyle w:val="Firstpagetablebold"/>
                <w:rFonts w:cs="Arial"/>
              </w:rPr>
              <w:t>Background Papers:</w:t>
            </w:r>
          </w:p>
        </w:tc>
      </w:tr>
      <w:tr w:rsidR="00514C02" w:rsidRPr="00A1149C" w:rsidTr="00ED6501">
        <w:tc>
          <w:tcPr>
            <w:tcW w:w="567" w:type="dxa"/>
            <w:tcBorders>
              <w:top w:val="single" w:sz="4" w:space="0" w:color="auto"/>
              <w:left w:val="single" w:sz="4" w:space="0" w:color="auto"/>
              <w:bottom w:val="single" w:sz="4" w:space="0" w:color="auto"/>
              <w:right w:val="nil"/>
            </w:tcBorders>
            <w:hideMark/>
          </w:tcPr>
          <w:p w:rsidR="00514C02" w:rsidRPr="00A1149C" w:rsidRDefault="00514C02">
            <w:pPr>
              <w:rPr>
                <w:rFonts w:cs="Arial"/>
              </w:rPr>
            </w:pPr>
            <w:r w:rsidRPr="00A1149C">
              <w:rPr>
                <w:rFonts w:cs="Arial"/>
              </w:rPr>
              <w:t>1</w:t>
            </w:r>
          </w:p>
        </w:tc>
        <w:tc>
          <w:tcPr>
            <w:tcW w:w="8364" w:type="dxa"/>
            <w:tcBorders>
              <w:top w:val="single" w:sz="4" w:space="0" w:color="auto"/>
              <w:left w:val="nil"/>
              <w:bottom w:val="single" w:sz="4" w:space="0" w:color="auto"/>
              <w:right w:val="single" w:sz="4" w:space="0" w:color="auto"/>
            </w:tcBorders>
            <w:hideMark/>
          </w:tcPr>
          <w:p w:rsidR="00514C02" w:rsidRPr="00A1149C" w:rsidRDefault="00ED6501">
            <w:pPr>
              <w:rPr>
                <w:rFonts w:cs="Arial"/>
              </w:rPr>
            </w:pPr>
            <w:r w:rsidRPr="00A1149C">
              <w:rPr>
                <w:rFonts w:cs="Arial"/>
              </w:rPr>
              <w:t>Oxford City Council Section 11 Self- Assessment 2016</w:t>
            </w:r>
          </w:p>
        </w:tc>
      </w:tr>
    </w:tbl>
    <w:p w:rsidR="001D6BF8" w:rsidRDefault="001D6BF8" w:rsidP="00E87F7A">
      <w:pPr>
        <w:spacing w:before="240"/>
        <w:outlineLvl w:val="0"/>
        <w:rPr>
          <w:rFonts w:cs="Arial"/>
          <w:b/>
          <w:sz w:val="22"/>
          <w:szCs w:val="22"/>
        </w:rPr>
      </w:pPr>
    </w:p>
    <w:p w:rsidR="001D6BF8" w:rsidRDefault="001D6BF8" w:rsidP="00E87F7A">
      <w:pPr>
        <w:spacing w:before="240"/>
        <w:outlineLvl w:val="0"/>
        <w:rPr>
          <w:rFonts w:cs="Arial"/>
          <w:b/>
          <w:sz w:val="22"/>
          <w:szCs w:val="22"/>
        </w:rPr>
      </w:pPr>
    </w:p>
    <w:p w:rsidR="001D6BF8" w:rsidRDefault="001D6BF8" w:rsidP="00E87F7A">
      <w:pPr>
        <w:spacing w:before="240"/>
        <w:outlineLvl w:val="0"/>
        <w:rPr>
          <w:rFonts w:cs="Arial"/>
          <w:b/>
          <w:sz w:val="22"/>
          <w:szCs w:val="22"/>
        </w:rPr>
      </w:pPr>
      <w:bookmarkStart w:id="0" w:name="_GoBack"/>
      <w:bookmarkEnd w:id="0"/>
    </w:p>
    <w:p w:rsidR="001D6BF8" w:rsidRDefault="001D6BF8" w:rsidP="00E87F7A">
      <w:pPr>
        <w:spacing w:before="240"/>
        <w:outlineLvl w:val="0"/>
        <w:rPr>
          <w:rFonts w:cs="Arial"/>
          <w:b/>
          <w:sz w:val="22"/>
          <w:szCs w:val="22"/>
        </w:rPr>
      </w:pPr>
    </w:p>
    <w:p w:rsidR="004456DD" w:rsidRPr="00EE063B" w:rsidRDefault="004456DD" w:rsidP="0093067A">
      <w:pPr>
        <w:rPr>
          <w:rFonts w:cs="Arial"/>
          <w:sz w:val="22"/>
          <w:szCs w:val="22"/>
        </w:rPr>
      </w:pPr>
    </w:p>
    <w:sectPr w:rsidR="004456DD" w:rsidRPr="00EE063B" w:rsidSect="00BC200B">
      <w:footerReference w:type="even" r:id="rId10"/>
      <w:footerReference w:type="default"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C1" w:rsidRDefault="007A7BC1" w:rsidP="004A6D2F">
      <w:r>
        <w:separator/>
      </w:r>
    </w:p>
  </w:endnote>
  <w:endnote w:type="continuationSeparator" w:id="0">
    <w:p w:rsidR="007A7BC1" w:rsidRDefault="007A7BC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AD" w:rsidRDefault="00364FAD" w:rsidP="004A6D2F">
    <w:pPr>
      <w:pStyle w:val="Footer"/>
    </w:pPr>
    <w:r>
      <w:t>Do not use a footer or page numbers.</w:t>
    </w:r>
  </w:p>
  <w:p w:rsidR="00364FAD" w:rsidRDefault="00364FAD" w:rsidP="004A6D2F">
    <w:pPr>
      <w:pStyle w:val="Footer"/>
    </w:pPr>
  </w:p>
  <w:p w:rsidR="00364FAD" w:rsidRDefault="00364FAD"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BA" w:rsidRDefault="004970BA">
    <w:pPr>
      <w:pStyle w:val="Footer"/>
      <w:jc w:val="center"/>
    </w:pPr>
  </w:p>
  <w:p w:rsidR="004970BA" w:rsidRDefault="00497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B5" w:rsidRDefault="00745BF0"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C1" w:rsidRDefault="007A7BC1" w:rsidP="004A6D2F">
      <w:r>
        <w:separator/>
      </w:r>
    </w:p>
  </w:footnote>
  <w:footnote w:type="continuationSeparator" w:id="0">
    <w:p w:rsidR="007A7BC1" w:rsidRDefault="007A7BC1"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E" w:rsidRDefault="00515A56" w:rsidP="00D5547E">
    <w:pPr>
      <w:pStyle w:val="Header"/>
      <w:jc w:val="right"/>
    </w:pPr>
    <w:r>
      <w:rPr>
        <w:noProof/>
      </w:rPr>
      <w:drawing>
        <wp:inline distT="0" distB="0" distL="0" distR="0">
          <wp:extent cx="838200" cy="1114425"/>
          <wp:effectExtent l="0" t="0" r="0" b="9525"/>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305D43"/>
    <w:multiLevelType w:val="multilevel"/>
    <w:tmpl w:val="ED0A4F9E"/>
    <w:lvl w:ilvl="0">
      <w:start w:val="1"/>
      <w:numFmt w:val="decimal"/>
      <w:lvlText w:val="%1."/>
      <w:lvlJc w:val="left"/>
      <w:pPr>
        <w:ind w:left="644" w:hanging="360"/>
      </w:pPr>
      <w:rPr>
        <w:rFonts w:hint="default"/>
      </w:rPr>
    </w:lvl>
    <w:lvl w:ilvl="1">
      <w:start w:val="9"/>
      <w:numFmt w:val="decimal"/>
      <w:isLgl/>
      <w:lvlText w:val="%1.%2"/>
      <w:lvlJc w:val="left"/>
      <w:pPr>
        <w:ind w:left="656" w:hanging="37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D8E3F07"/>
    <w:multiLevelType w:val="multilevel"/>
    <w:tmpl w:val="ED0A4F9E"/>
    <w:lvl w:ilvl="0">
      <w:start w:val="1"/>
      <w:numFmt w:val="decimal"/>
      <w:lvlText w:val="%1."/>
      <w:lvlJc w:val="left"/>
      <w:pPr>
        <w:ind w:left="644" w:hanging="360"/>
      </w:pPr>
      <w:rPr>
        <w:rFonts w:hint="default"/>
      </w:rPr>
    </w:lvl>
    <w:lvl w:ilvl="1">
      <w:start w:val="9"/>
      <w:numFmt w:val="decimal"/>
      <w:isLgl/>
      <w:lvlText w:val="%1.%2"/>
      <w:lvlJc w:val="left"/>
      <w:pPr>
        <w:ind w:left="656" w:hanging="37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9D0D5A"/>
    <w:multiLevelType w:val="hybridMultilevel"/>
    <w:tmpl w:val="32E87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38E7A7A"/>
    <w:multiLevelType w:val="multilevel"/>
    <w:tmpl w:val="C0D8C0BE"/>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4FC6CA3"/>
    <w:multiLevelType w:val="hybridMultilevel"/>
    <w:tmpl w:val="2AFEB1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36C018E1"/>
    <w:multiLevelType w:val="hybridMultilevel"/>
    <w:tmpl w:val="8E50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570649"/>
    <w:multiLevelType w:val="hybridMultilevel"/>
    <w:tmpl w:val="052A8BA2"/>
    <w:lvl w:ilvl="0" w:tplc="D2CC6180">
      <w:start w:val="4"/>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467F38E5"/>
    <w:multiLevelType w:val="hybridMultilevel"/>
    <w:tmpl w:val="E1E4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B9D12E5"/>
    <w:multiLevelType w:val="hybridMultilevel"/>
    <w:tmpl w:val="2AE63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C6208C3"/>
    <w:multiLevelType w:val="hybridMultilevel"/>
    <w:tmpl w:val="B50C04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929167E"/>
    <w:multiLevelType w:val="multilevel"/>
    <w:tmpl w:val="388A72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24805C9"/>
    <w:multiLevelType w:val="multilevel"/>
    <w:tmpl w:val="A5960434"/>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78C7B30"/>
    <w:multiLevelType w:val="multilevel"/>
    <w:tmpl w:val="ED0A4F9E"/>
    <w:lvl w:ilvl="0">
      <w:start w:val="1"/>
      <w:numFmt w:val="decimal"/>
      <w:lvlText w:val="%1."/>
      <w:lvlJc w:val="left"/>
      <w:pPr>
        <w:ind w:left="644" w:hanging="360"/>
      </w:pPr>
      <w:rPr>
        <w:rFonts w:hint="default"/>
      </w:rPr>
    </w:lvl>
    <w:lvl w:ilvl="1">
      <w:start w:val="9"/>
      <w:numFmt w:val="decimal"/>
      <w:isLgl/>
      <w:lvlText w:val="%1.%2"/>
      <w:lvlJc w:val="left"/>
      <w:pPr>
        <w:ind w:left="656" w:hanging="37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77EA1C4D"/>
    <w:multiLevelType w:val="multilevel"/>
    <w:tmpl w:val="EB66661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176B43"/>
    <w:multiLevelType w:val="hybridMultilevel"/>
    <w:tmpl w:val="5EC66DF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98365C6"/>
    <w:multiLevelType w:val="multilevel"/>
    <w:tmpl w:val="E67CE66C"/>
    <w:numStyleLink w:val="StyleNumberedLeft0cmHanging075cm"/>
  </w:abstractNum>
  <w:abstractNum w:abstractNumId="20">
    <w:nsid w:val="7D6027CA"/>
    <w:multiLevelType w:val="multilevel"/>
    <w:tmpl w:val="72AA4B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5973B6"/>
    <w:multiLevelType w:val="hybridMultilevel"/>
    <w:tmpl w:val="205CD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
  </w:num>
  <w:num w:numId="4">
    <w:abstractNumId w:val="1"/>
  </w:num>
  <w:num w:numId="5">
    <w:abstractNumId w:val="14"/>
  </w:num>
  <w:num w:numId="6">
    <w:abstractNumId w:val="3"/>
  </w:num>
  <w:num w:numId="7">
    <w:abstractNumId w:val="5"/>
  </w:num>
  <w:num w:numId="8">
    <w:abstractNumId w:val="21"/>
  </w:num>
  <w:num w:numId="9">
    <w:abstractNumId w:val="10"/>
  </w:num>
  <w:num w:numId="10">
    <w:abstractNumId w:val="15"/>
  </w:num>
  <w:num w:numId="11">
    <w:abstractNumId w:val="7"/>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7"/>
  </w:num>
  <w:num w:numId="17">
    <w:abstractNumId w:val="13"/>
  </w:num>
  <w:num w:numId="18">
    <w:abstractNumId w:val="6"/>
  </w:num>
  <w:num w:numId="19">
    <w:abstractNumId w:val="18"/>
  </w:num>
  <w:num w:numId="20">
    <w:abstractNumId w:val="2"/>
  </w:num>
  <w:num w:numId="21">
    <w:abstractNumId w:val="11"/>
  </w:num>
  <w:num w:numId="22">
    <w:abstractNumId w:val="20"/>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27"/>
    <w:rsid w:val="00001C2F"/>
    <w:rsid w:val="000117D4"/>
    <w:rsid w:val="00014367"/>
    <w:rsid w:val="00016A27"/>
    <w:rsid w:val="000265F9"/>
    <w:rsid w:val="000314D7"/>
    <w:rsid w:val="0003796E"/>
    <w:rsid w:val="00045F8B"/>
    <w:rsid w:val="00046D2B"/>
    <w:rsid w:val="00056263"/>
    <w:rsid w:val="00064D8A"/>
    <w:rsid w:val="00064F82"/>
    <w:rsid w:val="00066510"/>
    <w:rsid w:val="00077523"/>
    <w:rsid w:val="000939C9"/>
    <w:rsid w:val="000C089F"/>
    <w:rsid w:val="000C26E4"/>
    <w:rsid w:val="000C3928"/>
    <w:rsid w:val="000C5E8E"/>
    <w:rsid w:val="000C6FDF"/>
    <w:rsid w:val="000E1FC4"/>
    <w:rsid w:val="000F2958"/>
    <w:rsid w:val="000F4751"/>
    <w:rsid w:val="0010524C"/>
    <w:rsid w:val="00111FB1"/>
    <w:rsid w:val="00113418"/>
    <w:rsid w:val="001356F1"/>
    <w:rsid w:val="00136994"/>
    <w:rsid w:val="0014128E"/>
    <w:rsid w:val="00150F28"/>
    <w:rsid w:val="00151888"/>
    <w:rsid w:val="00164115"/>
    <w:rsid w:val="00170A2D"/>
    <w:rsid w:val="00171036"/>
    <w:rsid w:val="001808BC"/>
    <w:rsid w:val="00180EE6"/>
    <w:rsid w:val="00182B81"/>
    <w:rsid w:val="0018619D"/>
    <w:rsid w:val="00195582"/>
    <w:rsid w:val="001A011E"/>
    <w:rsid w:val="001A066A"/>
    <w:rsid w:val="001A13E6"/>
    <w:rsid w:val="001A5731"/>
    <w:rsid w:val="001A5E11"/>
    <w:rsid w:val="001B42C3"/>
    <w:rsid w:val="001C5D5E"/>
    <w:rsid w:val="001D0180"/>
    <w:rsid w:val="001D678D"/>
    <w:rsid w:val="001D6BF8"/>
    <w:rsid w:val="001E03F8"/>
    <w:rsid w:val="001E1678"/>
    <w:rsid w:val="001E3376"/>
    <w:rsid w:val="002069B3"/>
    <w:rsid w:val="00206D2B"/>
    <w:rsid w:val="002329CF"/>
    <w:rsid w:val="00232F5B"/>
    <w:rsid w:val="00247C29"/>
    <w:rsid w:val="00254AED"/>
    <w:rsid w:val="00260467"/>
    <w:rsid w:val="00260FF3"/>
    <w:rsid w:val="00263EA3"/>
    <w:rsid w:val="00284F85"/>
    <w:rsid w:val="00290915"/>
    <w:rsid w:val="002A22E2"/>
    <w:rsid w:val="002A2929"/>
    <w:rsid w:val="002C39C1"/>
    <w:rsid w:val="002C64F7"/>
    <w:rsid w:val="002E11D4"/>
    <w:rsid w:val="002E5F8B"/>
    <w:rsid w:val="002F41F2"/>
    <w:rsid w:val="00301BF3"/>
    <w:rsid w:val="0030208D"/>
    <w:rsid w:val="00313975"/>
    <w:rsid w:val="00323418"/>
    <w:rsid w:val="003357BF"/>
    <w:rsid w:val="00354373"/>
    <w:rsid w:val="003556F2"/>
    <w:rsid w:val="00364FAD"/>
    <w:rsid w:val="0036738F"/>
    <w:rsid w:val="0036759C"/>
    <w:rsid w:val="00367AE5"/>
    <w:rsid w:val="00367D71"/>
    <w:rsid w:val="0038150A"/>
    <w:rsid w:val="003B2ECA"/>
    <w:rsid w:val="003B6E75"/>
    <w:rsid w:val="003B7A52"/>
    <w:rsid w:val="003B7DA1"/>
    <w:rsid w:val="003D0379"/>
    <w:rsid w:val="003D2574"/>
    <w:rsid w:val="003D2C1D"/>
    <w:rsid w:val="003D4C59"/>
    <w:rsid w:val="003D4DE8"/>
    <w:rsid w:val="003D6228"/>
    <w:rsid w:val="003F4267"/>
    <w:rsid w:val="00401A91"/>
    <w:rsid w:val="00404032"/>
    <w:rsid w:val="0040736F"/>
    <w:rsid w:val="00412C1F"/>
    <w:rsid w:val="00421CB2"/>
    <w:rsid w:val="004262B7"/>
    <w:rsid w:val="004268B9"/>
    <w:rsid w:val="00433B96"/>
    <w:rsid w:val="004440F1"/>
    <w:rsid w:val="004456DD"/>
    <w:rsid w:val="00446CDF"/>
    <w:rsid w:val="004521B7"/>
    <w:rsid w:val="00462AB5"/>
    <w:rsid w:val="00465EAF"/>
    <w:rsid w:val="004738C5"/>
    <w:rsid w:val="00485878"/>
    <w:rsid w:val="00491046"/>
    <w:rsid w:val="004970BA"/>
    <w:rsid w:val="004A2AC7"/>
    <w:rsid w:val="004A6D2F"/>
    <w:rsid w:val="004C2887"/>
    <w:rsid w:val="004D2626"/>
    <w:rsid w:val="004D6E26"/>
    <w:rsid w:val="004D77D3"/>
    <w:rsid w:val="004E2959"/>
    <w:rsid w:val="004E493E"/>
    <w:rsid w:val="004F20EF"/>
    <w:rsid w:val="0050321C"/>
    <w:rsid w:val="00514C02"/>
    <w:rsid w:val="00515A56"/>
    <w:rsid w:val="005220EC"/>
    <w:rsid w:val="0054712D"/>
    <w:rsid w:val="00547EF6"/>
    <w:rsid w:val="005570B5"/>
    <w:rsid w:val="00567E18"/>
    <w:rsid w:val="00573002"/>
    <w:rsid w:val="00575F5F"/>
    <w:rsid w:val="00580595"/>
    <w:rsid w:val="00581805"/>
    <w:rsid w:val="00585F76"/>
    <w:rsid w:val="005A34E4"/>
    <w:rsid w:val="005A4F5E"/>
    <w:rsid w:val="005B17F2"/>
    <w:rsid w:val="005B3CCE"/>
    <w:rsid w:val="005B7FB0"/>
    <w:rsid w:val="005C35A5"/>
    <w:rsid w:val="005C577C"/>
    <w:rsid w:val="005D0621"/>
    <w:rsid w:val="005D1E27"/>
    <w:rsid w:val="005D2A3E"/>
    <w:rsid w:val="005D6BD6"/>
    <w:rsid w:val="005E022E"/>
    <w:rsid w:val="005E5215"/>
    <w:rsid w:val="005F7991"/>
    <w:rsid w:val="005F7F7E"/>
    <w:rsid w:val="00614693"/>
    <w:rsid w:val="00623C2F"/>
    <w:rsid w:val="00633578"/>
    <w:rsid w:val="00634D11"/>
    <w:rsid w:val="00637068"/>
    <w:rsid w:val="00650811"/>
    <w:rsid w:val="00655665"/>
    <w:rsid w:val="00661D3E"/>
    <w:rsid w:val="0067597B"/>
    <w:rsid w:val="00692627"/>
    <w:rsid w:val="00694504"/>
    <w:rsid w:val="006969E7"/>
    <w:rsid w:val="00696DEB"/>
    <w:rsid w:val="006A3643"/>
    <w:rsid w:val="006B4D1C"/>
    <w:rsid w:val="006C2A29"/>
    <w:rsid w:val="006C6097"/>
    <w:rsid w:val="006C64CF"/>
    <w:rsid w:val="006D17B1"/>
    <w:rsid w:val="006D4752"/>
    <w:rsid w:val="006D5AE7"/>
    <w:rsid w:val="006D708A"/>
    <w:rsid w:val="006D7712"/>
    <w:rsid w:val="006E14C1"/>
    <w:rsid w:val="006F0292"/>
    <w:rsid w:val="006F1306"/>
    <w:rsid w:val="006F27FA"/>
    <w:rsid w:val="006F416B"/>
    <w:rsid w:val="006F519B"/>
    <w:rsid w:val="00713675"/>
    <w:rsid w:val="00715823"/>
    <w:rsid w:val="00737B93"/>
    <w:rsid w:val="00745BF0"/>
    <w:rsid w:val="00751842"/>
    <w:rsid w:val="00755992"/>
    <w:rsid w:val="007609D7"/>
    <w:rsid w:val="007615FE"/>
    <w:rsid w:val="0076655C"/>
    <w:rsid w:val="007742DC"/>
    <w:rsid w:val="00774EC1"/>
    <w:rsid w:val="00791437"/>
    <w:rsid w:val="0079518A"/>
    <w:rsid w:val="007A7BC1"/>
    <w:rsid w:val="007B0C2C"/>
    <w:rsid w:val="007B278E"/>
    <w:rsid w:val="007C5C23"/>
    <w:rsid w:val="007C7230"/>
    <w:rsid w:val="007E2A26"/>
    <w:rsid w:val="007F2348"/>
    <w:rsid w:val="00802C22"/>
    <w:rsid w:val="00803F07"/>
    <w:rsid w:val="0080749A"/>
    <w:rsid w:val="00821FB8"/>
    <w:rsid w:val="00822ACD"/>
    <w:rsid w:val="008237A8"/>
    <w:rsid w:val="00837AC1"/>
    <w:rsid w:val="00855C66"/>
    <w:rsid w:val="008659D0"/>
    <w:rsid w:val="00871EE4"/>
    <w:rsid w:val="00893EF3"/>
    <w:rsid w:val="008A7B0D"/>
    <w:rsid w:val="008B293F"/>
    <w:rsid w:val="008B7371"/>
    <w:rsid w:val="008C0E71"/>
    <w:rsid w:val="008C5A81"/>
    <w:rsid w:val="008D3DDB"/>
    <w:rsid w:val="008E2E4A"/>
    <w:rsid w:val="008F2470"/>
    <w:rsid w:val="008F573F"/>
    <w:rsid w:val="009034EC"/>
    <w:rsid w:val="0093067A"/>
    <w:rsid w:val="00941C60"/>
    <w:rsid w:val="009519CE"/>
    <w:rsid w:val="00966D42"/>
    <w:rsid w:val="00971689"/>
    <w:rsid w:val="00973E90"/>
    <w:rsid w:val="00975B07"/>
    <w:rsid w:val="00980B4A"/>
    <w:rsid w:val="00984347"/>
    <w:rsid w:val="00997BC8"/>
    <w:rsid w:val="009C0C83"/>
    <w:rsid w:val="009D2C97"/>
    <w:rsid w:val="009D2F3F"/>
    <w:rsid w:val="009E3D0A"/>
    <w:rsid w:val="009E51FC"/>
    <w:rsid w:val="009F1D28"/>
    <w:rsid w:val="009F503D"/>
    <w:rsid w:val="009F7618"/>
    <w:rsid w:val="00A04D23"/>
    <w:rsid w:val="00A06766"/>
    <w:rsid w:val="00A1149C"/>
    <w:rsid w:val="00A13765"/>
    <w:rsid w:val="00A20002"/>
    <w:rsid w:val="00A21B12"/>
    <w:rsid w:val="00A23F80"/>
    <w:rsid w:val="00A2787B"/>
    <w:rsid w:val="00A46E98"/>
    <w:rsid w:val="00A6352B"/>
    <w:rsid w:val="00A701B5"/>
    <w:rsid w:val="00A714BB"/>
    <w:rsid w:val="00A92D8F"/>
    <w:rsid w:val="00AA3FB9"/>
    <w:rsid w:val="00AB2988"/>
    <w:rsid w:val="00AB640A"/>
    <w:rsid w:val="00AB7999"/>
    <w:rsid w:val="00AC16C7"/>
    <w:rsid w:val="00AD3292"/>
    <w:rsid w:val="00AE7AF0"/>
    <w:rsid w:val="00B349DB"/>
    <w:rsid w:val="00B500CA"/>
    <w:rsid w:val="00B86314"/>
    <w:rsid w:val="00BA1C2E"/>
    <w:rsid w:val="00BA4FCF"/>
    <w:rsid w:val="00BC200B"/>
    <w:rsid w:val="00BC4756"/>
    <w:rsid w:val="00BC69A4"/>
    <w:rsid w:val="00BD67ED"/>
    <w:rsid w:val="00BE0680"/>
    <w:rsid w:val="00BE305F"/>
    <w:rsid w:val="00BE7BA3"/>
    <w:rsid w:val="00BE7D28"/>
    <w:rsid w:val="00BF5682"/>
    <w:rsid w:val="00BF7B09"/>
    <w:rsid w:val="00C1303E"/>
    <w:rsid w:val="00C20A95"/>
    <w:rsid w:val="00C20DB8"/>
    <w:rsid w:val="00C238D5"/>
    <w:rsid w:val="00C2692F"/>
    <w:rsid w:val="00C3207C"/>
    <w:rsid w:val="00C400E1"/>
    <w:rsid w:val="00C41187"/>
    <w:rsid w:val="00C45E1C"/>
    <w:rsid w:val="00C63C31"/>
    <w:rsid w:val="00C757A0"/>
    <w:rsid w:val="00C760DE"/>
    <w:rsid w:val="00C82630"/>
    <w:rsid w:val="00C85B4E"/>
    <w:rsid w:val="00C907F7"/>
    <w:rsid w:val="00CA2103"/>
    <w:rsid w:val="00CB0E5C"/>
    <w:rsid w:val="00CB6B99"/>
    <w:rsid w:val="00CE4C87"/>
    <w:rsid w:val="00CE544A"/>
    <w:rsid w:val="00CE5F6D"/>
    <w:rsid w:val="00D11E1C"/>
    <w:rsid w:val="00D12227"/>
    <w:rsid w:val="00D1349A"/>
    <w:rsid w:val="00D160B0"/>
    <w:rsid w:val="00D17F94"/>
    <w:rsid w:val="00D223FC"/>
    <w:rsid w:val="00D26D1E"/>
    <w:rsid w:val="00D474CF"/>
    <w:rsid w:val="00D52CA7"/>
    <w:rsid w:val="00D5547E"/>
    <w:rsid w:val="00D67189"/>
    <w:rsid w:val="00D869A1"/>
    <w:rsid w:val="00DA413F"/>
    <w:rsid w:val="00DA4584"/>
    <w:rsid w:val="00DA614B"/>
    <w:rsid w:val="00DC3060"/>
    <w:rsid w:val="00DD4389"/>
    <w:rsid w:val="00DE0FB2"/>
    <w:rsid w:val="00DF093E"/>
    <w:rsid w:val="00DF45C2"/>
    <w:rsid w:val="00DF6DA2"/>
    <w:rsid w:val="00E01F42"/>
    <w:rsid w:val="00E206D6"/>
    <w:rsid w:val="00E2637C"/>
    <w:rsid w:val="00E3366E"/>
    <w:rsid w:val="00E4063F"/>
    <w:rsid w:val="00E52086"/>
    <w:rsid w:val="00E543A6"/>
    <w:rsid w:val="00E60479"/>
    <w:rsid w:val="00E61D73"/>
    <w:rsid w:val="00E67F7B"/>
    <w:rsid w:val="00E73684"/>
    <w:rsid w:val="00E80095"/>
    <w:rsid w:val="00E818D6"/>
    <w:rsid w:val="00E87B08"/>
    <w:rsid w:val="00E87D4D"/>
    <w:rsid w:val="00E87F7A"/>
    <w:rsid w:val="00E96BD7"/>
    <w:rsid w:val="00EA0DB1"/>
    <w:rsid w:val="00EA0EE9"/>
    <w:rsid w:val="00ED52CA"/>
    <w:rsid w:val="00ED5860"/>
    <w:rsid w:val="00ED6501"/>
    <w:rsid w:val="00ED684F"/>
    <w:rsid w:val="00ED6D02"/>
    <w:rsid w:val="00EE063B"/>
    <w:rsid w:val="00EE35C9"/>
    <w:rsid w:val="00EF2F38"/>
    <w:rsid w:val="00F00381"/>
    <w:rsid w:val="00F05D6D"/>
    <w:rsid w:val="00F05ECA"/>
    <w:rsid w:val="00F129E3"/>
    <w:rsid w:val="00F30DBE"/>
    <w:rsid w:val="00F3566E"/>
    <w:rsid w:val="00F375FB"/>
    <w:rsid w:val="00F37FC7"/>
    <w:rsid w:val="00F41AC1"/>
    <w:rsid w:val="00F4367A"/>
    <w:rsid w:val="00F445B1"/>
    <w:rsid w:val="00F45CD4"/>
    <w:rsid w:val="00F62E2B"/>
    <w:rsid w:val="00F6549D"/>
    <w:rsid w:val="00F66DCA"/>
    <w:rsid w:val="00F74F53"/>
    <w:rsid w:val="00F7606D"/>
    <w:rsid w:val="00F81670"/>
    <w:rsid w:val="00F82024"/>
    <w:rsid w:val="00F95BC9"/>
    <w:rsid w:val="00FA624C"/>
    <w:rsid w:val="00FC46FD"/>
    <w:rsid w:val="00FD0BAF"/>
    <w:rsid w:val="00FD0FAC"/>
    <w:rsid w:val="00FD1DFA"/>
    <w:rsid w:val="00FD4966"/>
    <w:rsid w:val="00FE57DC"/>
    <w:rsid w:val="00FE5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Subtitle" w:uiPriority="11"/>
    <w:lsdException w:name="Hyperlink"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F05D6D"/>
    <w:pPr>
      <w:autoSpaceDE w:val="0"/>
      <w:autoSpaceDN w:val="0"/>
      <w:adjustRightInd w:val="0"/>
    </w:pPr>
    <w:rPr>
      <w:rFonts w:ascii="Tahoma" w:hAnsi="Tahoma" w:cs="Tahoma"/>
      <w:color w:val="000000"/>
      <w:sz w:val="24"/>
      <w:szCs w:val="24"/>
    </w:rPr>
  </w:style>
  <w:style w:type="character" w:customStyle="1" w:styleId="FooterChar">
    <w:name w:val="Footer Char"/>
    <w:aliases w:val="zzFooter Char"/>
    <w:basedOn w:val="DefaultParagraphFont"/>
    <w:link w:val="Footer"/>
    <w:uiPriority w:val="99"/>
    <w:rsid w:val="004970BA"/>
    <w:rPr>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Subtitle" w:uiPriority="11"/>
    <w:lsdException w:name="Hyperlink"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F05D6D"/>
    <w:pPr>
      <w:autoSpaceDE w:val="0"/>
      <w:autoSpaceDN w:val="0"/>
      <w:adjustRightInd w:val="0"/>
    </w:pPr>
    <w:rPr>
      <w:rFonts w:ascii="Tahoma" w:hAnsi="Tahoma" w:cs="Tahoma"/>
      <w:color w:val="000000"/>
      <w:sz w:val="24"/>
      <w:szCs w:val="24"/>
    </w:rPr>
  </w:style>
  <w:style w:type="character" w:customStyle="1" w:styleId="FooterChar">
    <w:name w:val="Footer Char"/>
    <w:aliases w:val="zzFooter Char"/>
    <w:basedOn w:val="DefaultParagraphFont"/>
    <w:link w:val="Footer"/>
    <w:uiPriority w:val="99"/>
    <w:rsid w:val="004970BA"/>
    <w:rPr>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777">
      <w:bodyDiv w:val="1"/>
      <w:marLeft w:val="0"/>
      <w:marRight w:val="0"/>
      <w:marTop w:val="0"/>
      <w:marBottom w:val="0"/>
      <w:divBdr>
        <w:top w:val="none" w:sz="0" w:space="0" w:color="auto"/>
        <w:left w:val="none" w:sz="0" w:space="0" w:color="auto"/>
        <w:bottom w:val="none" w:sz="0" w:space="0" w:color="auto"/>
        <w:right w:val="none" w:sz="0" w:space="0" w:color="auto"/>
      </w:divBdr>
    </w:div>
    <w:div w:id="38751400">
      <w:bodyDiv w:val="1"/>
      <w:marLeft w:val="0"/>
      <w:marRight w:val="0"/>
      <w:marTop w:val="0"/>
      <w:marBottom w:val="0"/>
      <w:divBdr>
        <w:top w:val="none" w:sz="0" w:space="0" w:color="auto"/>
        <w:left w:val="none" w:sz="0" w:space="0" w:color="auto"/>
        <w:bottom w:val="none" w:sz="0" w:space="0" w:color="auto"/>
        <w:right w:val="none" w:sz="0" w:space="0" w:color="auto"/>
      </w:divBdr>
    </w:div>
    <w:div w:id="164975815">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72203246">
      <w:bodyDiv w:val="1"/>
      <w:marLeft w:val="0"/>
      <w:marRight w:val="0"/>
      <w:marTop w:val="0"/>
      <w:marBottom w:val="0"/>
      <w:divBdr>
        <w:top w:val="none" w:sz="0" w:space="0" w:color="auto"/>
        <w:left w:val="none" w:sz="0" w:space="0" w:color="auto"/>
        <w:bottom w:val="none" w:sz="0" w:space="0" w:color="auto"/>
        <w:right w:val="none" w:sz="0" w:space="0" w:color="auto"/>
      </w:divBdr>
    </w:div>
    <w:div w:id="327445270">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706521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53740857">
      <w:bodyDiv w:val="1"/>
      <w:marLeft w:val="0"/>
      <w:marRight w:val="0"/>
      <w:marTop w:val="0"/>
      <w:marBottom w:val="0"/>
      <w:divBdr>
        <w:top w:val="none" w:sz="0" w:space="0" w:color="auto"/>
        <w:left w:val="none" w:sz="0" w:space="0" w:color="auto"/>
        <w:bottom w:val="none" w:sz="0" w:space="0" w:color="auto"/>
        <w:right w:val="none" w:sz="0" w:space="0" w:color="auto"/>
      </w:divBdr>
      <w:divsChild>
        <w:div w:id="511919747">
          <w:marLeft w:val="0"/>
          <w:marRight w:val="0"/>
          <w:marTop w:val="0"/>
          <w:marBottom w:val="0"/>
          <w:divBdr>
            <w:top w:val="none" w:sz="0" w:space="0" w:color="auto"/>
            <w:left w:val="none" w:sz="0" w:space="0" w:color="auto"/>
            <w:bottom w:val="none" w:sz="0" w:space="0" w:color="auto"/>
            <w:right w:val="none" w:sz="0" w:space="0" w:color="auto"/>
          </w:divBdr>
          <w:divsChild>
            <w:div w:id="60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052">
      <w:bodyDiv w:val="1"/>
      <w:marLeft w:val="0"/>
      <w:marRight w:val="0"/>
      <w:marTop w:val="0"/>
      <w:marBottom w:val="0"/>
      <w:divBdr>
        <w:top w:val="none" w:sz="0" w:space="0" w:color="auto"/>
        <w:left w:val="none" w:sz="0" w:space="0" w:color="auto"/>
        <w:bottom w:val="none" w:sz="0" w:space="0" w:color="auto"/>
        <w:right w:val="none" w:sz="0" w:space="0" w:color="auto"/>
      </w:divBdr>
      <w:divsChild>
        <w:div w:id="1361859171">
          <w:marLeft w:val="0"/>
          <w:marRight w:val="0"/>
          <w:marTop w:val="0"/>
          <w:marBottom w:val="0"/>
          <w:divBdr>
            <w:top w:val="none" w:sz="0" w:space="0" w:color="auto"/>
            <w:left w:val="none" w:sz="0" w:space="0" w:color="auto"/>
            <w:bottom w:val="none" w:sz="0" w:space="0" w:color="auto"/>
            <w:right w:val="none" w:sz="0" w:space="0" w:color="auto"/>
          </w:divBdr>
          <w:divsChild>
            <w:div w:id="1829320363">
              <w:marLeft w:val="0"/>
              <w:marRight w:val="0"/>
              <w:marTop w:val="0"/>
              <w:marBottom w:val="0"/>
              <w:divBdr>
                <w:top w:val="none" w:sz="0" w:space="0" w:color="auto"/>
                <w:left w:val="none" w:sz="0" w:space="0" w:color="auto"/>
                <w:bottom w:val="none" w:sz="0" w:space="0" w:color="auto"/>
                <w:right w:val="none" w:sz="0" w:space="0" w:color="auto"/>
              </w:divBdr>
              <w:divsChild>
                <w:div w:id="1415277605">
                  <w:marLeft w:val="0"/>
                  <w:marRight w:val="0"/>
                  <w:marTop w:val="0"/>
                  <w:marBottom w:val="0"/>
                  <w:divBdr>
                    <w:top w:val="none" w:sz="0" w:space="0" w:color="auto"/>
                    <w:left w:val="none" w:sz="0" w:space="0" w:color="auto"/>
                    <w:bottom w:val="none" w:sz="0" w:space="0" w:color="auto"/>
                    <w:right w:val="none" w:sz="0" w:space="0" w:color="auto"/>
                  </w:divBdr>
                  <w:divsChild>
                    <w:div w:id="84038764">
                      <w:marLeft w:val="0"/>
                      <w:marRight w:val="0"/>
                      <w:marTop w:val="0"/>
                      <w:marBottom w:val="0"/>
                      <w:divBdr>
                        <w:top w:val="none" w:sz="0" w:space="0" w:color="auto"/>
                        <w:left w:val="none" w:sz="0" w:space="0" w:color="auto"/>
                        <w:bottom w:val="none" w:sz="0" w:space="0" w:color="auto"/>
                        <w:right w:val="none" w:sz="0" w:space="0" w:color="auto"/>
                      </w:divBdr>
                      <w:divsChild>
                        <w:div w:id="1034235657">
                          <w:marLeft w:val="0"/>
                          <w:marRight w:val="0"/>
                          <w:marTop w:val="0"/>
                          <w:marBottom w:val="0"/>
                          <w:divBdr>
                            <w:top w:val="none" w:sz="0" w:space="0" w:color="auto"/>
                            <w:left w:val="none" w:sz="0" w:space="0" w:color="auto"/>
                            <w:bottom w:val="none" w:sz="0" w:space="0" w:color="auto"/>
                            <w:right w:val="none" w:sz="0" w:space="0" w:color="auto"/>
                          </w:divBdr>
                          <w:divsChild>
                            <w:div w:id="1019552538">
                              <w:marLeft w:val="0"/>
                              <w:marRight w:val="0"/>
                              <w:marTop w:val="0"/>
                              <w:marBottom w:val="0"/>
                              <w:divBdr>
                                <w:top w:val="none" w:sz="0" w:space="0" w:color="auto"/>
                                <w:left w:val="none" w:sz="0" w:space="0" w:color="auto"/>
                                <w:bottom w:val="none" w:sz="0" w:space="0" w:color="auto"/>
                                <w:right w:val="none" w:sz="0" w:space="0" w:color="auto"/>
                              </w:divBdr>
                              <w:divsChild>
                                <w:div w:id="1897735859">
                                  <w:marLeft w:val="0"/>
                                  <w:marRight w:val="0"/>
                                  <w:marTop w:val="0"/>
                                  <w:marBottom w:val="0"/>
                                  <w:divBdr>
                                    <w:top w:val="none" w:sz="0" w:space="0" w:color="auto"/>
                                    <w:left w:val="none" w:sz="0" w:space="0" w:color="auto"/>
                                    <w:bottom w:val="none" w:sz="0" w:space="0" w:color="auto"/>
                                    <w:right w:val="none" w:sz="0" w:space="0" w:color="auto"/>
                                  </w:divBdr>
                                  <w:divsChild>
                                    <w:div w:id="2073118421">
                                      <w:marLeft w:val="0"/>
                                      <w:marRight w:val="0"/>
                                      <w:marTop w:val="0"/>
                                      <w:marBottom w:val="0"/>
                                      <w:divBdr>
                                        <w:top w:val="none" w:sz="0" w:space="0" w:color="auto"/>
                                        <w:left w:val="none" w:sz="0" w:space="0" w:color="auto"/>
                                        <w:bottom w:val="none" w:sz="0" w:space="0" w:color="auto"/>
                                        <w:right w:val="none" w:sz="0" w:space="0" w:color="auto"/>
                                      </w:divBdr>
                                      <w:divsChild>
                                        <w:div w:id="1250893989">
                                          <w:marLeft w:val="0"/>
                                          <w:marRight w:val="0"/>
                                          <w:marTop w:val="0"/>
                                          <w:marBottom w:val="0"/>
                                          <w:divBdr>
                                            <w:top w:val="none" w:sz="0" w:space="0" w:color="auto"/>
                                            <w:left w:val="none" w:sz="0" w:space="0" w:color="auto"/>
                                            <w:bottom w:val="none" w:sz="0" w:space="0" w:color="auto"/>
                                            <w:right w:val="none" w:sz="0" w:space="0" w:color="auto"/>
                                          </w:divBdr>
                                          <w:divsChild>
                                            <w:div w:id="4558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67510">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56746565">
      <w:bodyDiv w:val="1"/>
      <w:marLeft w:val="0"/>
      <w:marRight w:val="0"/>
      <w:marTop w:val="0"/>
      <w:marBottom w:val="0"/>
      <w:divBdr>
        <w:top w:val="none" w:sz="0" w:space="0" w:color="auto"/>
        <w:left w:val="none" w:sz="0" w:space="0" w:color="auto"/>
        <w:bottom w:val="none" w:sz="0" w:space="0" w:color="auto"/>
        <w:right w:val="none" w:sz="0" w:space="0" w:color="auto"/>
      </w:divBdr>
    </w:div>
    <w:div w:id="1261061042">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37947408">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671105870">
      <w:bodyDiv w:val="1"/>
      <w:marLeft w:val="0"/>
      <w:marRight w:val="0"/>
      <w:marTop w:val="0"/>
      <w:marBottom w:val="0"/>
      <w:divBdr>
        <w:top w:val="none" w:sz="0" w:space="0" w:color="auto"/>
        <w:left w:val="none" w:sz="0" w:space="0" w:color="auto"/>
        <w:bottom w:val="none" w:sz="0" w:space="0" w:color="auto"/>
        <w:right w:val="none" w:sz="0" w:space="0" w:color="auto"/>
      </w:divBdr>
    </w:div>
    <w:div w:id="1729914671">
      <w:bodyDiv w:val="1"/>
      <w:marLeft w:val="0"/>
      <w:marRight w:val="0"/>
      <w:marTop w:val="0"/>
      <w:marBottom w:val="0"/>
      <w:divBdr>
        <w:top w:val="none" w:sz="0" w:space="0" w:color="auto"/>
        <w:left w:val="none" w:sz="0" w:space="0" w:color="auto"/>
        <w:bottom w:val="none" w:sz="0" w:space="0" w:color="auto"/>
        <w:right w:val="none" w:sz="0" w:space="0" w:color="auto"/>
      </w:divBdr>
    </w:div>
    <w:div w:id="1733389525">
      <w:bodyDiv w:val="1"/>
      <w:marLeft w:val="0"/>
      <w:marRight w:val="0"/>
      <w:marTop w:val="0"/>
      <w:marBottom w:val="0"/>
      <w:divBdr>
        <w:top w:val="none" w:sz="0" w:space="0" w:color="auto"/>
        <w:left w:val="none" w:sz="0" w:space="0" w:color="auto"/>
        <w:bottom w:val="none" w:sz="0" w:space="0" w:color="auto"/>
        <w:right w:val="none" w:sz="0" w:space="0" w:color="auto"/>
      </w:divBdr>
    </w:div>
    <w:div w:id="18911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xford.gov.uk/safeguardingselfassess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anito\AppData\Local\Microsoft\Windows\Temporary%20Internet%20Files\Content.Outlook\EUE64ITN\1%20CEB%20report%20-%20blank%20template%20to%20be%20used%20from%20January%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801B-20B7-4224-82DD-ADAC165E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CEB report - blank template to be used from January 2016</Template>
  <TotalTime>10</TotalTime>
  <Pages>7</Pages>
  <Words>1953</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dgranito</dc:creator>
  <cp:lastModifiedBy>sclaridge</cp:lastModifiedBy>
  <cp:revision>3</cp:revision>
  <cp:lastPrinted>2017-05-03T15:39:00Z</cp:lastPrinted>
  <dcterms:created xsi:type="dcterms:W3CDTF">2017-05-23T11:24:00Z</dcterms:created>
  <dcterms:modified xsi:type="dcterms:W3CDTF">2017-06-08T14:44:00Z</dcterms:modified>
</cp:coreProperties>
</file>

<file path=docProps/custom.xml><?xml version="1.0" encoding="utf-8"?>
<op:Properties xmlns:op="http://schemas.openxmlformats.org/officeDocument/2006/custom-properties"/>
</file>